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3EC3B737" w:rsidR="0077180D" w:rsidRDefault="003F4389" w:rsidP="00546C9D">
      <w:r>
        <w:rPr>
          <w:rFonts w:hint="eastAsia"/>
          <w:lang w:eastAsia="zh-CN"/>
        </w:rPr>
        <w:t>11:373:</w:t>
      </w:r>
      <w:r w:rsidR="00050BF1">
        <w:rPr>
          <w:lang w:eastAsia="zh-CN"/>
        </w:rPr>
        <w:t>3</w:t>
      </w:r>
      <w:r w:rsidR="00DD4930">
        <w:rPr>
          <w:lang w:eastAsia="zh-CN"/>
        </w:rPr>
        <w:t>52</w:t>
      </w:r>
    </w:p>
    <w:p w14:paraId="3D009C46" w14:textId="38006ABF" w:rsidR="00D5095E" w:rsidRDefault="00050BF1" w:rsidP="00546C9D">
      <w:pPr>
        <w:rPr>
          <w:rFonts w:eastAsiaTheme="majorEastAsia" w:cstheme="majorBidi"/>
          <w:b/>
          <w:color w:val="000000" w:themeColor="text1"/>
          <w:sz w:val="36"/>
          <w:szCs w:val="32"/>
        </w:rPr>
      </w:pPr>
      <w:r>
        <w:rPr>
          <w:rFonts w:eastAsiaTheme="majorEastAsia" w:cstheme="majorBidi"/>
          <w:b/>
          <w:color w:val="000000" w:themeColor="text1"/>
          <w:sz w:val="36"/>
          <w:szCs w:val="32"/>
        </w:rPr>
        <w:t xml:space="preserve">Economics of </w:t>
      </w:r>
      <w:r w:rsidR="00DD4930">
        <w:rPr>
          <w:rFonts w:eastAsiaTheme="majorEastAsia" w:cstheme="majorBidi"/>
          <w:b/>
          <w:color w:val="000000" w:themeColor="text1"/>
          <w:sz w:val="36"/>
          <w:szCs w:val="32"/>
        </w:rPr>
        <w:t>Futures Markets</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48750A3B" w:rsidR="00A3101E"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DD4930" w:rsidRPr="00DD4930">
        <w:t>11:373:121 or 01:220:102</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365068FE" w14:textId="5E024CE3" w:rsidR="00A3101E" w:rsidRDefault="00A07477">
      <w:pPr>
        <w:rPr>
          <w:rStyle w:val="Style2"/>
          <w:lang w:eastAsia="zh-CN"/>
        </w:rPr>
      </w:pPr>
      <w:r>
        <w:rPr>
          <w:bCs/>
        </w:rPr>
        <w:t>Instructor(s):</w:t>
      </w:r>
      <w:r w:rsidR="005700B5" w:rsidRPr="005700B5">
        <w:t xml:space="preserve"> </w:t>
      </w:r>
      <w:r w:rsidR="005700B5" w:rsidRPr="005700B5">
        <w:rPr>
          <w:bCs/>
        </w:rPr>
        <w:t xml:space="preserve">Dr. </w:t>
      </w:r>
      <w:r w:rsidR="00DD4930" w:rsidRPr="00DD4930">
        <w:rPr>
          <w:bCs/>
        </w:rPr>
        <w:t>Sanjib Bhuyan</w:t>
      </w:r>
      <w:r w:rsidR="005700B5">
        <w:rPr>
          <w:bCs/>
        </w:rPr>
        <w:br/>
      </w:r>
      <w:r w:rsidR="005700B5" w:rsidRPr="005700B5">
        <w:rPr>
          <w:rStyle w:val="Style2"/>
          <w:lang w:eastAsia="zh-CN"/>
        </w:rPr>
        <w:t xml:space="preserve">Email: </w:t>
      </w:r>
      <w:r w:rsidR="00DD4930" w:rsidRPr="00CC2772">
        <w:rPr>
          <w:lang w:eastAsia="zh-CN"/>
        </w:rPr>
        <w:t>bhuyan@sebs.rutgers.edu</w:t>
      </w:r>
    </w:p>
    <w:p w14:paraId="6B09ABFB" w14:textId="77777777" w:rsidR="00DD4930" w:rsidRDefault="00DD4930">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DD4930">
      <w:p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245E5605" w14:textId="1558B32D" w:rsidR="00DD4930" w:rsidRDefault="00DD4930" w:rsidP="00DD4930">
      <w:r w:rsidRPr="00DD4930">
        <w:t>We will use the</w:t>
      </w:r>
      <w:r>
        <w:t xml:space="preserve"> following</w:t>
      </w:r>
      <w:r w:rsidRPr="00DD4930">
        <w:t xml:space="preserve"> resources to learn concepts and their applications, begin discussions in classes, and to frame issues addressed in written work, such as the term project. </w:t>
      </w:r>
    </w:p>
    <w:p w14:paraId="63C0CF10" w14:textId="77777777" w:rsidR="00957E38" w:rsidRPr="00DD4930" w:rsidRDefault="00957E38" w:rsidP="00DD4930"/>
    <w:p w14:paraId="5216BB8E" w14:textId="77777777" w:rsidR="00DD4930" w:rsidRPr="00957E38" w:rsidRDefault="00DD4930" w:rsidP="00DD4930">
      <w:pPr>
        <w:numPr>
          <w:ilvl w:val="0"/>
          <w:numId w:val="60"/>
        </w:numPr>
        <w:rPr>
          <w:b/>
          <w:bCs/>
        </w:rPr>
      </w:pPr>
      <w:r w:rsidRPr="00DD4930">
        <w:rPr>
          <w:b/>
          <w:bCs/>
          <w:u w:val="single"/>
        </w:rPr>
        <w:t>REQUIRED:</w:t>
      </w:r>
      <w:r w:rsidRPr="00DD4930">
        <w:t xml:space="preserve">  Students will be using StockTrak (</w:t>
      </w:r>
      <w:hyperlink r:id="rId9" w:history="1">
        <w:r w:rsidRPr="00DD4930">
          <w:rPr>
            <w:rStyle w:val="Hyperlink"/>
          </w:rPr>
          <w:t>https://www.stocktrak.com/</w:t>
        </w:r>
      </w:hyperlink>
      <w:r w:rsidRPr="00DD4930">
        <w:t xml:space="preserve">), a virtual futures and options simulation web-based software, in this class to learn real-world trading of futures and options (aka derviatives). The unique class registration link, which students in this class will use to join the game is available at the “User Manual” that accompanies this syllabus. </w:t>
      </w:r>
    </w:p>
    <w:p w14:paraId="4F75DFE2" w14:textId="77777777" w:rsidR="00957E38" w:rsidRPr="00DD4930" w:rsidRDefault="00957E38" w:rsidP="00957E38">
      <w:pPr>
        <w:ind w:left="360"/>
        <w:rPr>
          <w:b/>
          <w:bCs/>
        </w:rPr>
      </w:pPr>
    </w:p>
    <w:p w14:paraId="5A7D7FF0" w14:textId="0CA6B787" w:rsidR="00957E38" w:rsidRPr="00957E38" w:rsidRDefault="00DD4930" w:rsidP="00957E38">
      <w:pPr>
        <w:numPr>
          <w:ilvl w:val="0"/>
          <w:numId w:val="60"/>
        </w:numPr>
        <w:rPr>
          <w:b/>
          <w:bCs/>
        </w:rPr>
      </w:pPr>
      <w:r w:rsidRPr="00DD4930">
        <w:rPr>
          <w:b/>
          <w:bCs/>
        </w:rPr>
        <w:t xml:space="preserve">PRIMARY TEXTBOOK (Optional but highly recommended): </w:t>
      </w:r>
      <w:r w:rsidRPr="00DD4930">
        <w:t xml:space="preserve">John C. Hull. </w:t>
      </w:r>
      <w:r w:rsidRPr="00DD4930">
        <w:rPr>
          <w:b/>
          <w:bCs/>
        </w:rPr>
        <w:t>(Hull)</w:t>
      </w:r>
      <w:r w:rsidRPr="00DD4930">
        <w:t xml:space="preserve"> </w:t>
      </w:r>
      <w:r w:rsidRPr="00DD4930">
        <w:rPr>
          <w:i/>
          <w:iCs/>
        </w:rPr>
        <w:t>Fundamentals of Futures and Option Markets</w:t>
      </w:r>
      <w:r w:rsidRPr="00DD4930">
        <w:t xml:space="preserve">, 9th ed. 2021. Pearson, Hoboken, NJ. ISBN-13: 9780137504763. I will be using this Hull textbook to teach concepts, their application and for all non-project graded assignments. So, although it is not required or mandatory for you to buy the textbook, I highly recommend it, including sharing of a textbook with other students.   </w:t>
      </w:r>
    </w:p>
    <w:p w14:paraId="3437C496" w14:textId="77777777" w:rsidR="00957E38" w:rsidRPr="00DD4930" w:rsidRDefault="00957E38" w:rsidP="00957E38">
      <w:pPr>
        <w:ind w:left="360"/>
        <w:rPr>
          <w:b/>
          <w:bCs/>
        </w:rPr>
      </w:pPr>
    </w:p>
    <w:p w14:paraId="4C2DCAC8" w14:textId="77777777" w:rsidR="00DD4930" w:rsidRPr="00DD4930" w:rsidRDefault="00DD4930" w:rsidP="00DD4930">
      <w:pPr>
        <w:numPr>
          <w:ilvl w:val="0"/>
          <w:numId w:val="60"/>
        </w:numPr>
      </w:pPr>
      <w:r w:rsidRPr="00DD4930">
        <w:rPr>
          <w:b/>
          <w:bCs/>
        </w:rPr>
        <w:t>Optional textbooks:</w:t>
      </w:r>
      <w:r w:rsidRPr="00DD4930">
        <w:t xml:space="preserve"> </w:t>
      </w:r>
    </w:p>
    <w:p w14:paraId="13C935D9" w14:textId="77777777" w:rsidR="00DD4930" w:rsidRPr="00DD4930" w:rsidRDefault="00DD4930" w:rsidP="00DD4930">
      <w:pPr>
        <w:numPr>
          <w:ilvl w:val="0"/>
          <w:numId w:val="61"/>
        </w:numPr>
      </w:pPr>
      <w:r w:rsidRPr="00DD4930">
        <w:t xml:space="preserve">James B. Bittman. </w:t>
      </w:r>
      <w:r w:rsidRPr="00DD4930">
        <w:rPr>
          <w:i/>
          <w:iCs/>
        </w:rPr>
        <w:t>Trading and Hedging with Agricultural Futures and Options</w:t>
      </w:r>
      <w:r w:rsidRPr="00DD4930">
        <w:t>, 2013. Hoboken, NJ. John Wiley &amp; Sons, Inc. ISBN: 978-1-592-80329-3.</w:t>
      </w:r>
    </w:p>
    <w:p w14:paraId="29237B7B" w14:textId="77777777" w:rsidR="00DD4930" w:rsidRPr="00DD4930" w:rsidRDefault="00DD4930" w:rsidP="00DD4930">
      <w:pPr>
        <w:numPr>
          <w:ilvl w:val="0"/>
          <w:numId w:val="61"/>
        </w:numPr>
      </w:pPr>
      <w:r w:rsidRPr="00DD4930">
        <w:t xml:space="preserve">Colin A. Carter. </w:t>
      </w:r>
      <w:r w:rsidRPr="00DD4930">
        <w:rPr>
          <w:i/>
          <w:iCs/>
        </w:rPr>
        <w:t xml:space="preserve">Futures and Options Markets: An Introduction, </w:t>
      </w:r>
      <w:r w:rsidRPr="00DD4930">
        <w:t>ISBN-13 : 979-8397871662 (independently published).</w:t>
      </w:r>
    </w:p>
    <w:p w14:paraId="5144F99F" w14:textId="77777777" w:rsidR="00DD4930" w:rsidRPr="00DD4930" w:rsidRDefault="00DD4930" w:rsidP="00DD4930">
      <w:pPr>
        <w:numPr>
          <w:ilvl w:val="0"/>
          <w:numId w:val="61"/>
        </w:numPr>
      </w:pPr>
      <w:r w:rsidRPr="00DD4930">
        <w:t xml:space="preserve">Don M. Chance and Roberts Brooks. </w:t>
      </w:r>
      <w:r w:rsidRPr="00DD4930">
        <w:rPr>
          <w:i/>
          <w:iCs/>
        </w:rPr>
        <w:t>Introduction to Derivatives and Risk Management,</w:t>
      </w:r>
      <w:r w:rsidRPr="00DD4930">
        <w:t xml:space="preserve"> 10</w:t>
      </w:r>
      <w:r w:rsidRPr="00DD4930">
        <w:rPr>
          <w:vertAlign w:val="superscript"/>
        </w:rPr>
        <w:t>th</w:t>
      </w:r>
      <w:r w:rsidRPr="00DD4930">
        <w:t xml:space="preserve"> Edition. 2016. Cengage, MA, Boston. ISBN-13: 978-1-305-10497-6</w:t>
      </w:r>
    </w:p>
    <w:p w14:paraId="5E291DBB" w14:textId="77777777" w:rsidR="00DD4930" w:rsidRDefault="00DD4930" w:rsidP="00DD4930">
      <w:pPr>
        <w:numPr>
          <w:ilvl w:val="0"/>
          <w:numId w:val="61"/>
        </w:numPr>
      </w:pPr>
      <w:r w:rsidRPr="00DD4930">
        <w:t xml:space="preserve">CME Group’s self-study guides (sample in Canvas); also available at </w:t>
      </w:r>
      <w:hyperlink r:id="rId10" w:history="1">
        <w:r w:rsidRPr="00DD4930">
          <w:rPr>
            <w:rStyle w:val="Hyperlink"/>
          </w:rPr>
          <w:t>https://www.cmegroup.com/</w:t>
        </w:r>
      </w:hyperlink>
      <w:r w:rsidRPr="00DD4930">
        <w:t xml:space="preserve"> </w:t>
      </w:r>
    </w:p>
    <w:p w14:paraId="67E753EA" w14:textId="77777777" w:rsidR="00957E38" w:rsidRPr="00DD4930" w:rsidRDefault="00957E38" w:rsidP="00957E38">
      <w:pPr>
        <w:ind w:left="720"/>
      </w:pPr>
    </w:p>
    <w:p w14:paraId="6A666805" w14:textId="77777777" w:rsidR="00DD4930" w:rsidRPr="00DD4930" w:rsidRDefault="00DD4930" w:rsidP="00DD4930">
      <w:pPr>
        <w:numPr>
          <w:ilvl w:val="0"/>
          <w:numId w:val="62"/>
        </w:numPr>
        <w:rPr>
          <w:b/>
          <w:bCs/>
        </w:rPr>
      </w:pPr>
      <w:r w:rsidRPr="00DD4930">
        <w:rPr>
          <w:b/>
          <w:bCs/>
        </w:rPr>
        <w:t xml:space="preserve">Valuable resources are available at: </w:t>
      </w:r>
    </w:p>
    <w:p w14:paraId="75B186E4" w14:textId="77777777" w:rsidR="00DD4930" w:rsidRPr="00DD4930" w:rsidRDefault="00DD4930" w:rsidP="00DD4930">
      <w:pPr>
        <w:numPr>
          <w:ilvl w:val="0"/>
          <w:numId w:val="63"/>
        </w:numPr>
      </w:pPr>
      <w:r w:rsidRPr="00DD4930">
        <w:t xml:space="preserve">U.S. Commodity Futures Trading Commission: </w:t>
      </w:r>
      <w:hyperlink r:id="rId11" w:history="1">
        <w:r w:rsidRPr="00DD4930">
          <w:rPr>
            <w:rStyle w:val="Hyperlink"/>
          </w:rPr>
          <w:t>http://www.cftc.gov/IndustryOversight/ContractsProducts/AgriculturalTradeOptions/ato</w:t>
        </w:r>
      </w:hyperlink>
      <w:r w:rsidRPr="00DD4930">
        <w:t xml:space="preserve">; </w:t>
      </w:r>
    </w:p>
    <w:p w14:paraId="3690DB6E" w14:textId="77777777" w:rsidR="00DD4930" w:rsidRPr="00DD4930" w:rsidRDefault="00DD4930" w:rsidP="00DD4930">
      <w:pPr>
        <w:numPr>
          <w:ilvl w:val="0"/>
          <w:numId w:val="63"/>
        </w:numPr>
      </w:pPr>
      <w:r w:rsidRPr="00DD4930">
        <w:t xml:space="preserve">Commodity Trading School: </w:t>
      </w:r>
      <w:hyperlink r:id="rId12" w:history="1">
        <w:r w:rsidRPr="00DD4930">
          <w:rPr>
            <w:rStyle w:val="Hyperlink"/>
          </w:rPr>
          <w:t>www.commoditytrainingschool.com</w:t>
        </w:r>
      </w:hyperlink>
      <w:r w:rsidRPr="00DD4930">
        <w:t xml:space="preserve">; </w:t>
      </w:r>
    </w:p>
    <w:p w14:paraId="6E3ED583" w14:textId="77777777" w:rsidR="00DD4930" w:rsidRPr="00DD4930" w:rsidRDefault="00DD4930" w:rsidP="00DD4930">
      <w:pPr>
        <w:numPr>
          <w:ilvl w:val="0"/>
          <w:numId w:val="63"/>
        </w:numPr>
      </w:pPr>
      <w:r w:rsidRPr="00DD4930">
        <w:t xml:space="preserve">The CME Group (formerly Chicago Mercantile Exchange, Chicago Board of Trade, and NY Mercantile Exchange): </w:t>
      </w:r>
      <w:hyperlink r:id="rId13" w:history="1">
        <w:r w:rsidRPr="00DD4930">
          <w:rPr>
            <w:rStyle w:val="Hyperlink"/>
          </w:rPr>
          <w:t>http://www.cmegroup.com/</w:t>
        </w:r>
      </w:hyperlink>
      <w:r w:rsidRPr="00DD4930">
        <w:t xml:space="preserve">; </w:t>
      </w:r>
    </w:p>
    <w:p w14:paraId="7B91F886" w14:textId="77777777" w:rsidR="00DD4930" w:rsidRPr="00DD4930" w:rsidRDefault="00DD4930" w:rsidP="00DD4930">
      <w:pPr>
        <w:numPr>
          <w:ilvl w:val="0"/>
          <w:numId w:val="63"/>
        </w:numPr>
      </w:pPr>
      <w:r w:rsidRPr="00DD4930">
        <w:lastRenderedPageBreak/>
        <w:t xml:space="preserve">US Department of Agriculture, Economic Research Service: </w:t>
      </w:r>
      <w:hyperlink r:id="rId14" w:history="1">
        <w:r w:rsidRPr="00DD4930">
          <w:rPr>
            <w:rStyle w:val="Hyperlink"/>
          </w:rPr>
          <w:t>http://www.ers.usda.gov/Publications/aer837</w:t>
        </w:r>
      </w:hyperlink>
      <w:r w:rsidRPr="00DD4930">
        <w:t xml:space="preserve">; </w:t>
      </w:r>
    </w:p>
    <w:p w14:paraId="29F8294A" w14:textId="77777777" w:rsidR="00DD4930" w:rsidRPr="00DD4930" w:rsidRDefault="00DD4930" w:rsidP="00DD4930">
      <w:pPr>
        <w:numPr>
          <w:ilvl w:val="0"/>
          <w:numId w:val="63"/>
        </w:numPr>
        <w:rPr>
          <w:lang w:val="fr-FR"/>
        </w:rPr>
      </w:pPr>
      <w:r w:rsidRPr="00DD4930">
        <w:rPr>
          <w:lang w:val="fr-FR"/>
        </w:rPr>
        <w:t xml:space="preserve">Intercontinental Exchange, Inc. (ICE): </w:t>
      </w:r>
      <w:hyperlink r:id="rId15" w:history="1">
        <w:r w:rsidRPr="00DD4930">
          <w:rPr>
            <w:rStyle w:val="Hyperlink"/>
            <w:lang w:val="fr-FR"/>
          </w:rPr>
          <w:t>https://www.theice.com/index</w:t>
        </w:r>
      </w:hyperlink>
      <w:r w:rsidRPr="00DD4930">
        <w:rPr>
          <w:lang w:val="fr-FR"/>
        </w:rPr>
        <w:t xml:space="preserve">; </w:t>
      </w:r>
    </w:p>
    <w:p w14:paraId="3054B20F" w14:textId="77777777" w:rsidR="00DD4930" w:rsidRPr="00DD4930" w:rsidRDefault="00DD4930" w:rsidP="00DD4930">
      <w:pPr>
        <w:numPr>
          <w:ilvl w:val="0"/>
          <w:numId w:val="63"/>
        </w:numPr>
      </w:pPr>
      <w:r w:rsidRPr="00DD4930">
        <w:t xml:space="preserve">Farmdoc Publication Archive on commodity futures markets: </w:t>
      </w:r>
      <w:hyperlink r:id="rId16" w:history="1">
        <w:r w:rsidRPr="00DD4930">
          <w:rPr>
            <w:rStyle w:val="Hyperlink"/>
          </w:rPr>
          <w:t>http://www.farmdoc.illinois.edu/irwin/links_archive.asp</w:t>
        </w:r>
      </w:hyperlink>
      <w:r w:rsidRPr="00DD4930">
        <w:t xml:space="preserve"> </w:t>
      </w:r>
    </w:p>
    <w:p w14:paraId="3C3FA970" w14:textId="77777777" w:rsidR="00DD4930" w:rsidRPr="00DD4930" w:rsidRDefault="00DD4930" w:rsidP="00DD4930">
      <w:pPr>
        <w:ind w:left="720"/>
        <w:rPr>
          <w:b/>
          <w:iCs/>
        </w:rPr>
      </w:pPr>
    </w:p>
    <w:p w14:paraId="71540C2B" w14:textId="77777777" w:rsidR="00DD4930" w:rsidRPr="00DD4930" w:rsidRDefault="00DD4930" w:rsidP="00DD4930">
      <w:pPr>
        <w:ind w:left="360"/>
        <w:rPr>
          <w:iCs/>
        </w:rPr>
      </w:pPr>
      <w:r w:rsidRPr="00DD4930">
        <w:rPr>
          <w:b/>
          <w:iCs/>
        </w:rPr>
        <w:t>SUPPLEMENTAL MATERIALS:</w:t>
      </w:r>
      <w:r w:rsidRPr="00DD4930">
        <w:t xml:space="preserve">  WSJ, Bloomberg BusinessWeek, business section of any newspaper.</w:t>
      </w:r>
    </w:p>
    <w:p w14:paraId="59B35044" w14:textId="77777777" w:rsidR="00050BF1" w:rsidRPr="00596B94" w:rsidRDefault="00050BF1" w:rsidP="00050BF1">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2A7070E8" w14:textId="3E8B4E1C" w:rsidR="00050BF1" w:rsidRDefault="00DD4930" w:rsidP="00596B94">
      <w:pPr>
        <w:rPr>
          <w:lang w:eastAsia="zh-CN"/>
        </w:rPr>
      </w:pPr>
      <w:r w:rsidRPr="00DD4930">
        <w:rPr>
          <w:lang w:eastAsia="zh-CN"/>
        </w:rPr>
        <w:t>This analytical course is designed to teach students the basics of derivatives (futures and options). The focus of this course is on teaching students how derivatives are used in a risk management and pricing context pertaining to trading, marketing, hedging, and procurement of agricultural and non-agricultural commodities.</w:t>
      </w:r>
    </w:p>
    <w:p w14:paraId="77BD968C" w14:textId="77777777" w:rsidR="00DD4930" w:rsidRPr="005700B5" w:rsidRDefault="00DD4930" w:rsidP="00596B94">
      <w:pPr>
        <w:rPr>
          <w:lang w:eastAsia="zh-CN"/>
        </w:rPr>
      </w:pPr>
    </w:p>
    <w:p w14:paraId="4AAA1A95" w14:textId="3F4564A5" w:rsidR="00596B94" w:rsidRDefault="00A07477" w:rsidP="00DD4930">
      <w:pPr>
        <w:pStyle w:val="Heading2"/>
      </w:pPr>
      <w:r>
        <w:t>L</w:t>
      </w:r>
      <w:r w:rsidR="00AA286F">
        <w:t>earning Goals</w:t>
      </w:r>
    </w:p>
    <w:p w14:paraId="5E41341C" w14:textId="77777777" w:rsidR="00DD4930" w:rsidRPr="00DD4930" w:rsidRDefault="00DD4930" w:rsidP="00DD4930">
      <w:r w:rsidRPr="00DD4930">
        <w:t xml:space="preserve">By successfully completing this course, students will be able to (i.e., student learning outcomes/objectives): </w:t>
      </w:r>
    </w:p>
    <w:p w14:paraId="0679073E" w14:textId="77777777" w:rsidR="00DD4930" w:rsidRPr="00DD4930" w:rsidRDefault="00DD4930" w:rsidP="00DD4930">
      <w:pPr>
        <w:numPr>
          <w:ilvl w:val="0"/>
          <w:numId w:val="59"/>
        </w:numPr>
      </w:pPr>
      <w:r w:rsidRPr="00DD4930">
        <w:t>Understand the basic mechanics of futures and options contracts, the futures quoting and reporting system, and the scope of the global futures and options industry,</w:t>
      </w:r>
    </w:p>
    <w:p w14:paraId="6C178CAB" w14:textId="77777777" w:rsidR="00DD4930" w:rsidRPr="00DD4930" w:rsidRDefault="00DD4930" w:rsidP="00DD4930">
      <w:pPr>
        <w:numPr>
          <w:ilvl w:val="0"/>
          <w:numId w:val="59"/>
        </w:numPr>
      </w:pPr>
      <w:r w:rsidRPr="00DD4930">
        <w:t>Understand the role of futures markets in price discovery,</w:t>
      </w:r>
    </w:p>
    <w:p w14:paraId="5E7C7055" w14:textId="77777777" w:rsidR="00DD4930" w:rsidRPr="00DD4930" w:rsidRDefault="00DD4930" w:rsidP="00DD4930">
      <w:pPr>
        <w:numPr>
          <w:ilvl w:val="0"/>
          <w:numId w:val="59"/>
        </w:numPr>
      </w:pPr>
      <w:r w:rsidRPr="00DD4930">
        <w:t>Conduct fundamental analysis and interpret basic technical analysis of futures price charts,</w:t>
      </w:r>
    </w:p>
    <w:p w14:paraId="66EE6297" w14:textId="77777777" w:rsidR="00DD4930" w:rsidRPr="00DD4930" w:rsidRDefault="00DD4930" w:rsidP="00DD4930">
      <w:pPr>
        <w:numPr>
          <w:ilvl w:val="0"/>
          <w:numId w:val="59"/>
        </w:numPr>
      </w:pPr>
      <w:r w:rsidRPr="00DD4930">
        <w:t xml:space="preserve">Understand the concept of basis, and </w:t>
      </w:r>
    </w:p>
    <w:p w14:paraId="62492268" w14:textId="77777777" w:rsidR="00DD4930" w:rsidRPr="00DD4930" w:rsidRDefault="00DD4930" w:rsidP="00DD4930">
      <w:pPr>
        <w:numPr>
          <w:ilvl w:val="0"/>
          <w:numId w:val="59"/>
        </w:numPr>
      </w:pPr>
      <w:r w:rsidRPr="00DD4930">
        <w:t>Be able to develop and analyze basic long and short hedging strategies for businesses (agribusiness or otherwise) using futures and options contracts.</w:t>
      </w:r>
    </w:p>
    <w:p w14:paraId="09DCA94F" w14:textId="77777777" w:rsidR="00DD4930" w:rsidRDefault="00DD4930" w:rsidP="00DD4930"/>
    <w:p w14:paraId="2AB9CAAC" w14:textId="0F7B579C" w:rsidR="00DD4930" w:rsidRPr="00DD4930" w:rsidRDefault="00DD4930" w:rsidP="00DD4930">
      <w:r w:rsidRPr="00DD4930">
        <w:t>Students will learn a variety of concepts, including analytical models and how to use them in assessment of the real-world risk management strategies. Student's work throughout the semester should show strong and coherent evidence of these learning objectives, embodied primarily in the writing and thinking they do.</w:t>
      </w:r>
    </w:p>
    <w:p w14:paraId="1C7ECD04" w14:textId="77777777" w:rsidR="00DD4930" w:rsidRPr="00DD4930" w:rsidRDefault="00DD4930" w:rsidP="00DD4930"/>
    <w:p w14:paraId="52322040" w14:textId="509A8844" w:rsidR="00A3101E" w:rsidRDefault="00A07477" w:rsidP="00AA286F">
      <w:pPr>
        <w:pStyle w:val="Heading2"/>
      </w:pPr>
      <w:r>
        <w:t>A</w:t>
      </w:r>
      <w:r w:rsidR="00AA286F">
        <w:t>ssignments/Responsibilities, Grading &amp; Assessment</w:t>
      </w:r>
    </w:p>
    <w:p w14:paraId="32A8D47A" w14:textId="77777777" w:rsidR="00DD4930" w:rsidRDefault="00DD4930" w:rsidP="00DD4930">
      <w:pPr>
        <w:rPr>
          <w:b/>
          <w:bCs/>
        </w:rPr>
      </w:pPr>
    </w:p>
    <w:p w14:paraId="37B586D1" w14:textId="78536724" w:rsidR="00DD4930" w:rsidRPr="00DD4930" w:rsidRDefault="00DD4930" w:rsidP="00DD4930">
      <w:r w:rsidRPr="00DD4930">
        <w:rPr>
          <w:b/>
          <w:bCs/>
        </w:rPr>
        <w:t>Evaluations:</w:t>
      </w:r>
      <w:r w:rsidRPr="00DD4930">
        <w:t xml:space="preserve"> The main question of interest here is “What did you learn in this class that you did not know before?” One enrolls in a course to learn something new or to expand the horizon of something already learnt, and I hope this course will be able to offer students exactly that. </w:t>
      </w:r>
    </w:p>
    <w:p w14:paraId="11E22AD6" w14:textId="77777777" w:rsidR="00DD4930" w:rsidRDefault="00DD4930" w:rsidP="00DD4930"/>
    <w:p w14:paraId="4A01D1AC" w14:textId="728921CA" w:rsidR="00DD4930" w:rsidRPr="00DD4930" w:rsidRDefault="00DD4930" w:rsidP="00DD4930">
      <w:r w:rsidRPr="00DD4930">
        <w:t xml:space="preserve">To evaluate student understanding and progress, there will be </w:t>
      </w:r>
      <w:r w:rsidRPr="00DD4930">
        <w:rPr>
          <w:b/>
          <w:bCs/>
        </w:rPr>
        <w:t>2 in-class non-comprehensive tests</w:t>
      </w:r>
      <w:r w:rsidRPr="00DD4930">
        <w:t xml:space="preserve">.  Each test generally consists of both multiple-choice and short essay-type questions focusing on relevant concepts, theories, facts, analytical procedures, and models. In addition, there will be </w:t>
      </w:r>
      <w:r w:rsidRPr="00DD4930">
        <w:rPr>
          <w:b/>
          <w:bCs/>
        </w:rPr>
        <w:t>homework</w:t>
      </w:r>
      <w:r w:rsidRPr="00DD4930">
        <w:t xml:space="preserve">, </w:t>
      </w:r>
      <w:r w:rsidRPr="00DD4930">
        <w:rPr>
          <w:b/>
        </w:rPr>
        <w:t>quizzes</w:t>
      </w:r>
      <w:r w:rsidRPr="00DD4930">
        <w:t xml:space="preserve"> (both </w:t>
      </w:r>
      <w:r w:rsidRPr="00DD4930">
        <w:rPr>
          <w:i/>
        </w:rPr>
        <w:t>almost every week</w:t>
      </w:r>
      <w:r w:rsidRPr="00DD4930">
        <w:t xml:space="preserve">), and a </w:t>
      </w:r>
      <w:r w:rsidRPr="00DD4930">
        <w:rPr>
          <w:b/>
          <w:bCs/>
        </w:rPr>
        <w:t xml:space="preserve">term project mentioned earlier </w:t>
      </w:r>
      <w:r w:rsidRPr="00DD4930">
        <w:t xml:space="preserve">during the semester.  </w:t>
      </w:r>
    </w:p>
    <w:p w14:paraId="7A62330C" w14:textId="77777777" w:rsidR="00DD4930" w:rsidRDefault="00DD4930" w:rsidP="00DD4930"/>
    <w:p w14:paraId="42D593D8" w14:textId="2C920F50" w:rsidR="00DD4930" w:rsidRDefault="00DD4930" w:rsidP="00DD4930">
      <w:pPr>
        <w:rPr>
          <w:b/>
          <w:bCs/>
        </w:rPr>
      </w:pPr>
      <w:r w:rsidRPr="00DD4930">
        <w:t>Examination dates are given below so that you can plan accordingly (</w:t>
      </w:r>
      <w:r w:rsidRPr="00DD4930">
        <w:rPr>
          <w:b/>
        </w:rPr>
        <w:t>NOTE:</w:t>
      </w:r>
      <w:r w:rsidRPr="00DD4930">
        <w:t xml:space="preserve"> there is NO make-up exam in this course – see details below). </w:t>
      </w:r>
      <w:r w:rsidRPr="00DD4930">
        <w:rPr>
          <w:b/>
          <w:bCs/>
        </w:rPr>
        <w:t>There is NO Final exam in this course.</w:t>
      </w:r>
    </w:p>
    <w:p w14:paraId="2B474728" w14:textId="77777777" w:rsidR="00DD4930" w:rsidRPr="00DD4930" w:rsidRDefault="00DD4930" w:rsidP="00DD4930"/>
    <w:p w14:paraId="16958F93" w14:textId="77777777" w:rsidR="00DD4930" w:rsidRPr="00DD4930" w:rsidRDefault="00DD4930" w:rsidP="00DD4930">
      <w:pPr>
        <w:rPr>
          <w:b/>
          <w:bCs/>
        </w:rPr>
      </w:pPr>
      <w:r w:rsidRPr="00DD4930">
        <w:rPr>
          <w:b/>
          <w:bCs/>
        </w:rPr>
        <w:tab/>
      </w:r>
      <w:r w:rsidRPr="00DD4930">
        <w:rPr>
          <w:b/>
          <w:bCs/>
        </w:rPr>
        <w:tab/>
      </w:r>
      <w:r w:rsidRPr="00DD4930">
        <w:rPr>
          <w:b/>
          <w:bCs/>
        </w:rPr>
        <w:tab/>
        <w:t>Thursday, March 12</w:t>
      </w:r>
      <w:r w:rsidRPr="00DD4930">
        <w:rPr>
          <w:b/>
          <w:bCs/>
          <w:vertAlign w:val="superscript"/>
        </w:rPr>
        <w:t>th</w:t>
      </w:r>
      <w:r w:rsidRPr="00DD4930">
        <w:rPr>
          <w:b/>
          <w:bCs/>
        </w:rPr>
        <w:t xml:space="preserve">  </w:t>
      </w:r>
      <w:r w:rsidRPr="00DD4930">
        <w:rPr>
          <w:b/>
          <w:bCs/>
        </w:rPr>
        <w:tab/>
      </w:r>
      <w:r w:rsidRPr="00DD4930">
        <w:rPr>
          <w:b/>
          <w:bCs/>
        </w:rPr>
        <w:tab/>
        <w:t>1</w:t>
      </w:r>
      <w:r w:rsidRPr="00DD4930">
        <w:rPr>
          <w:b/>
          <w:bCs/>
          <w:vertAlign w:val="superscript"/>
        </w:rPr>
        <w:t>st</w:t>
      </w:r>
      <w:r w:rsidRPr="00DD4930">
        <w:rPr>
          <w:b/>
          <w:bCs/>
        </w:rPr>
        <w:t xml:space="preserve"> exam </w:t>
      </w:r>
    </w:p>
    <w:p w14:paraId="02B1C689" w14:textId="77777777" w:rsidR="00DD4930" w:rsidRPr="00DD4930" w:rsidRDefault="00DD4930" w:rsidP="00DD4930">
      <w:r w:rsidRPr="00DD4930">
        <w:rPr>
          <w:b/>
          <w:bCs/>
        </w:rPr>
        <w:tab/>
      </w:r>
      <w:r w:rsidRPr="00DD4930">
        <w:rPr>
          <w:b/>
          <w:bCs/>
        </w:rPr>
        <w:tab/>
      </w:r>
      <w:r w:rsidRPr="00DD4930">
        <w:rPr>
          <w:b/>
          <w:bCs/>
        </w:rPr>
        <w:tab/>
        <w:t>Early May</w:t>
      </w:r>
      <w:r w:rsidRPr="00DD4930">
        <w:rPr>
          <w:b/>
          <w:bCs/>
        </w:rPr>
        <w:tab/>
      </w:r>
      <w:r w:rsidRPr="00DD4930">
        <w:rPr>
          <w:b/>
          <w:bCs/>
        </w:rPr>
        <w:tab/>
        <w:t xml:space="preserve"> </w:t>
      </w:r>
      <w:r w:rsidRPr="00DD4930">
        <w:rPr>
          <w:b/>
          <w:bCs/>
        </w:rPr>
        <w:tab/>
      </w:r>
      <w:r w:rsidRPr="00DD4930">
        <w:rPr>
          <w:b/>
          <w:bCs/>
        </w:rPr>
        <w:tab/>
        <w:t>2</w:t>
      </w:r>
      <w:r w:rsidRPr="00DD4930">
        <w:rPr>
          <w:b/>
          <w:bCs/>
          <w:vertAlign w:val="superscript"/>
        </w:rPr>
        <w:t>nd</w:t>
      </w:r>
      <w:r w:rsidRPr="00DD4930">
        <w:rPr>
          <w:b/>
          <w:bCs/>
        </w:rPr>
        <w:t xml:space="preserve"> exam </w:t>
      </w:r>
    </w:p>
    <w:p w14:paraId="4B6EBE58" w14:textId="77777777" w:rsidR="00DD4930" w:rsidRDefault="00DD4930" w:rsidP="00DD4930">
      <w:pPr>
        <w:rPr>
          <w:b/>
          <w:bCs/>
        </w:rPr>
      </w:pPr>
    </w:p>
    <w:p w14:paraId="791A17DC" w14:textId="68818240" w:rsidR="00DD4930" w:rsidRPr="00DD4930" w:rsidRDefault="00DD4930" w:rsidP="00DD4930">
      <w:r w:rsidRPr="00DD4930">
        <w:rPr>
          <w:b/>
          <w:bCs/>
        </w:rPr>
        <w:lastRenderedPageBreak/>
        <w:t>Grading:</w:t>
      </w:r>
      <w:r w:rsidRPr="00DD4930">
        <w:t xml:space="preserve"> It is my responsibility to prepare appropriate evaluation to your progress in learning and give feedback regularly.  Grading will be based on written work (tests, homework, quiz, term paper) and class participation.  I aim for fairness in grading.  Please remember that grading is a subjective process whose end is not always satisfactory to everyone.  Also please remember that your grade in this course </w:t>
      </w:r>
      <w:r w:rsidRPr="00DD4930">
        <w:rPr>
          <w:u w:val="single"/>
        </w:rPr>
        <w:t>is not</w:t>
      </w:r>
      <w:r w:rsidRPr="00DD4930">
        <w:t xml:space="preserve"> a prediction of your success after graduation, nor is it an evaluation of your worth as a person. Grades for the course will be based on: </w:t>
      </w:r>
      <w:r w:rsidRPr="00DD4930">
        <w:tab/>
      </w:r>
      <w:r w:rsidRPr="00DD4930">
        <w:tab/>
      </w:r>
    </w:p>
    <w:p w14:paraId="4204F5AB" w14:textId="77777777" w:rsidR="00DD4930" w:rsidRDefault="00DD4930" w:rsidP="00DD4930">
      <w:pPr>
        <w:rPr>
          <w:b/>
        </w:rPr>
      </w:pPr>
    </w:p>
    <w:p w14:paraId="79124590" w14:textId="244D3C09" w:rsidR="00DD4930" w:rsidRDefault="00DD4930" w:rsidP="00DD4930">
      <w:pPr>
        <w:rPr>
          <w:b/>
        </w:rPr>
      </w:pPr>
      <w:r w:rsidRPr="00DD4930">
        <w:rPr>
          <w:b/>
        </w:rPr>
        <w:t>The final grade for the course is based on, i.e., distribution of credits:</w:t>
      </w:r>
      <w:r w:rsidRPr="00DD4930">
        <w:rPr>
          <w:b/>
        </w:rPr>
        <w:tab/>
      </w:r>
    </w:p>
    <w:p w14:paraId="775467A2" w14:textId="77777777" w:rsidR="00DD4930" w:rsidRPr="00DD4930" w:rsidRDefault="00DD4930" w:rsidP="00DD4930">
      <w:pPr>
        <w:rPr>
          <w:b/>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080"/>
      </w:tblGrid>
      <w:tr w:rsidR="00DD4930" w:rsidRPr="00DD4930" w14:paraId="5F9F6CB8" w14:textId="77777777">
        <w:tc>
          <w:tcPr>
            <w:tcW w:w="7740" w:type="dxa"/>
            <w:tcBorders>
              <w:top w:val="single" w:sz="4" w:space="0" w:color="auto"/>
              <w:left w:val="single" w:sz="4" w:space="0" w:color="auto"/>
              <w:bottom w:val="single" w:sz="4" w:space="0" w:color="auto"/>
              <w:right w:val="single" w:sz="4" w:space="0" w:color="auto"/>
            </w:tcBorders>
            <w:hideMark/>
          </w:tcPr>
          <w:p w14:paraId="4D0392C8" w14:textId="77777777" w:rsidR="00DD4930" w:rsidRPr="00DD4930" w:rsidRDefault="00DD4930" w:rsidP="00DD4930">
            <w:pPr>
              <w:rPr>
                <w:iCs/>
              </w:rPr>
            </w:pPr>
            <w:r w:rsidRPr="00DD4930">
              <w:rPr>
                <w:iCs/>
              </w:rPr>
              <w:t>Two non-comprehensive exams, @100 each</w:t>
            </w:r>
          </w:p>
        </w:tc>
        <w:tc>
          <w:tcPr>
            <w:tcW w:w="1080" w:type="dxa"/>
            <w:tcBorders>
              <w:top w:val="single" w:sz="4" w:space="0" w:color="auto"/>
              <w:left w:val="single" w:sz="4" w:space="0" w:color="auto"/>
              <w:bottom w:val="single" w:sz="4" w:space="0" w:color="auto"/>
              <w:right w:val="single" w:sz="4" w:space="0" w:color="auto"/>
            </w:tcBorders>
            <w:hideMark/>
          </w:tcPr>
          <w:p w14:paraId="1D22EB09" w14:textId="77777777" w:rsidR="00DD4930" w:rsidRPr="00DD4930" w:rsidRDefault="00DD4930" w:rsidP="00DD4930">
            <w:pPr>
              <w:rPr>
                <w:i/>
              </w:rPr>
            </w:pPr>
            <w:r w:rsidRPr="00DD4930">
              <w:rPr>
                <w:i/>
              </w:rPr>
              <w:t>200</w:t>
            </w:r>
          </w:p>
        </w:tc>
      </w:tr>
      <w:tr w:rsidR="00DD4930" w:rsidRPr="00DD4930" w14:paraId="2DC4A0F8" w14:textId="77777777">
        <w:tc>
          <w:tcPr>
            <w:tcW w:w="7740" w:type="dxa"/>
            <w:tcBorders>
              <w:top w:val="single" w:sz="4" w:space="0" w:color="auto"/>
              <w:left w:val="single" w:sz="4" w:space="0" w:color="auto"/>
              <w:bottom w:val="single" w:sz="4" w:space="0" w:color="auto"/>
              <w:right w:val="single" w:sz="4" w:space="0" w:color="auto"/>
            </w:tcBorders>
            <w:hideMark/>
          </w:tcPr>
          <w:p w14:paraId="021AAE62" w14:textId="77777777" w:rsidR="00DD4930" w:rsidRPr="00DD4930" w:rsidRDefault="00DD4930" w:rsidP="00DD4930">
            <w:pPr>
              <w:rPr>
                <w:iCs/>
              </w:rPr>
            </w:pPr>
            <w:r w:rsidRPr="00DD4930">
              <w:rPr>
                <w:iCs/>
              </w:rPr>
              <w:t>Term project (see details in the separate document (User Manual) provided for this purpose); completed draft paper: 20% of total, and completed final paper: 80% of total</w:t>
            </w:r>
          </w:p>
        </w:tc>
        <w:tc>
          <w:tcPr>
            <w:tcW w:w="1080" w:type="dxa"/>
            <w:tcBorders>
              <w:top w:val="single" w:sz="4" w:space="0" w:color="auto"/>
              <w:left w:val="single" w:sz="4" w:space="0" w:color="auto"/>
              <w:bottom w:val="single" w:sz="4" w:space="0" w:color="auto"/>
              <w:right w:val="single" w:sz="4" w:space="0" w:color="auto"/>
            </w:tcBorders>
            <w:hideMark/>
          </w:tcPr>
          <w:p w14:paraId="54A0896B" w14:textId="77777777" w:rsidR="00DD4930" w:rsidRPr="00DD4930" w:rsidRDefault="00DD4930" w:rsidP="00DD4930">
            <w:pPr>
              <w:rPr>
                <w:i/>
              </w:rPr>
            </w:pPr>
            <w:r w:rsidRPr="00DD4930">
              <w:rPr>
                <w:i/>
              </w:rPr>
              <w:t>100</w:t>
            </w:r>
          </w:p>
        </w:tc>
      </w:tr>
      <w:tr w:rsidR="00DD4930" w:rsidRPr="00DD4930" w14:paraId="36A97C7D" w14:textId="77777777">
        <w:tc>
          <w:tcPr>
            <w:tcW w:w="7740" w:type="dxa"/>
            <w:tcBorders>
              <w:top w:val="single" w:sz="4" w:space="0" w:color="auto"/>
              <w:left w:val="single" w:sz="4" w:space="0" w:color="auto"/>
              <w:bottom w:val="single" w:sz="4" w:space="0" w:color="auto"/>
              <w:right w:val="single" w:sz="4" w:space="0" w:color="auto"/>
            </w:tcBorders>
            <w:hideMark/>
          </w:tcPr>
          <w:p w14:paraId="6B60256E" w14:textId="77777777" w:rsidR="00DD4930" w:rsidRPr="00DD4930" w:rsidRDefault="00DD4930" w:rsidP="00DD4930">
            <w:pPr>
              <w:rPr>
                <w:iCs/>
              </w:rPr>
            </w:pPr>
            <w:r w:rsidRPr="00DD4930">
              <w:rPr>
                <w:iCs/>
              </w:rPr>
              <w:t xml:space="preserve">HW </w:t>
            </w:r>
          </w:p>
        </w:tc>
        <w:tc>
          <w:tcPr>
            <w:tcW w:w="1080" w:type="dxa"/>
            <w:tcBorders>
              <w:top w:val="single" w:sz="4" w:space="0" w:color="auto"/>
              <w:left w:val="single" w:sz="4" w:space="0" w:color="auto"/>
              <w:bottom w:val="single" w:sz="4" w:space="0" w:color="auto"/>
              <w:right w:val="single" w:sz="4" w:space="0" w:color="auto"/>
            </w:tcBorders>
            <w:hideMark/>
          </w:tcPr>
          <w:p w14:paraId="6288D6E8" w14:textId="77777777" w:rsidR="00DD4930" w:rsidRPr="00DD4930" w:rsidRDefault="00DD4930" w:rsidP="00DD4930">
            <w:pPr>
              <w:rPr>
                <w:i/>
              </w:rPr>
            </w:pPr>
            <w:r w:rsidRPr="00DD4930">
              <w:rPr>
                <w:i/>
              </w:rPr>
              <w:t>70</w:t>
            </w:r>
          </w:p>
        </w:tc>
      </w:tr>
      <w:tr w:rsidR="00DD4930" w:rsidRPr="00DD4930" w14:paraId="29C897CD" w14:textId="77777777">
        <w:tc>
          <w:tcPr>
            <w:tcW w:w="7740" w:type="dxa"/>
            <w:tcBorders>
              <w:top w:val="single" w:sz="4" w:space="0" w:color="auto"/>
              <w:left w:val="single" w:sz="4" w:space="0" w:color="auto"/>
              <w:bottom w:val="single" w:sz="4" w:space="0" w:color="auto"/>
              <w:right w:val="single" w:sz="4" w:space="0" w:color="auto"/>
            </w:tcBorders>
            <w:hideMark/>
          </w:tcPr>
          <w:p w14:paraId="1F19AB11" w14:textId="77777777" w:rsidR="00DD4930" w:rsidRPr="00DD4930" w:rsidRDefault="00DD4930" w:rsidP="00DD4930">
            <w:pPr>
              <w:rPr>
                <w:iCs/>
              </w:rPr>
            </w:pPr>
            <w:r w:rsidRPr="00DD4930">
              <w:rPr>
                <w:iCs/>
              </w:rPr>
              <w:t>Quizzes</w:t>
            </w:r>
          </w:p>
        </w:tc>
        <w:tc>
          <w:tcPr>
            <w:tcW w:w="1080" w:type="dxa"/>
            <w:tcBorders>
              <w:top w:val="single" w:sz="4" w:space="0" w:color="auto"/>
              <w:left w:val="single" w:sz="4" w:space="0" w:color="auto"/>
              <w:bottom w:val="single" w:sz="4" w:space="0" w:color="auto"/>
              <w:right w:val="single" w:sz="4" w:space="0" w:color="auto"/>
            </w:tcBorders>
            <w:hideMark/>
          </w:tcPr>
          <w:p w14:paraId="36C474FB" w14:textId="77777777" w:rsidR="00DD4930" w:rsidRPr="00DD4930" w:rsidRDefault="00DD4930" w:rsidP="00DD4930">
            <w:pPr>
              <w:rPr>
                <w:i/>
              </w:rPr>
            </w:pPr>
            <w:r w:rsidRPr="00DD4930">
              <w:rPr>
                <w:i/>
              </w:rPr>
              <w:t>30</w:t>
            </w:r>
          </w:p>
        </w:tc>
      </w:tr>
      <w:tr w:rsidR="00DD4930" w:rsidRPr="00DD4930" w14:paraId="605579FF" w14:textId="77777777">
        <w:tc>
          <w:tcPr>
            <w:tcW w:w="7740" w:type="dxa"/>
            <w:tcBorders>
              <w:top w:val="single" w:sz="4" w:space="0" w:color="auto"/>
              <w:left w:val="single" w:sz="4" w:space="0" w:color="auto"/>
              <w:bottom w:val="single" w:sz="4" w:space="0" w:color="auto"/>
              <w:right w:val="single" w:sz="4" w:space="0" w:color="auto"/>
            </w:tcBorders>
            <w:hideMark/>
          </w:tcPr>
          <w:p w14:paraId="0F746C6A" w14:textId="77777777" w:rsidR="00DD4930" w:rsidRPr="00DD4930" w:rsidRDefault="00DD4930" w:rsidP="00DD4930">
            <w:pPr>
              <w:rPr>
                <w:iCs/>
              </w:rPr>
            </w:pPr>
            <w:r w:rsidRPr="00DD4930">
              <w:rPr>
                <w:iCs/>
              </w:rPr>
              <w:t>Participatory activities designed for each class period, e.g., answering questions on topics discussed in class – bonus points</w:t>
            </w:r>
          </w:p>
        </w:tc>
        <w:tc>
          <w:tcPr>
            <w:tcW w:w="1080" w:type="dxa"/>
            <w:tcBorders>
              <w:top w:val="single" w:sz="4" w:space="0" w:color="auto"/>
              <w:left w:val="single" w:sz="4" w:space="0" w:color="auto"/>
              <w:bottom w:val="single" w:sz="4" w:space="0" w:color="auto"/>
              <w:right w:val="single" w:sz="4" w:space="0" w:color="auto"/>
            </w:tcBorders>
            <w:hideMark/>
          </w:tcPr>
          <w:p w14:paraId="006FE94A" w14:textId="77777777" w:rsidR="00DD4930" w:rsidRPr="00DD4930" w:rsidRDefault="00DD4930" w:rsidP="00DD4930">
            <w:pPr>
              <w:rPr>
                <w:i/>
              </w:rPr>
            </w:pPr>
            <w:r w:rsidRPr="00DD4930">
              <w:rPr>
                <w:i/>
              </w:rPr>
              <w:t>(10)</w:t>
            </w:r>
          </w:p>
        </w:tc>
      </w:tr>
      <w:tr w:rsidR="00DD4930" w:rsidRPr="00DD4930" w14:paraId="65B89167" w14:textId="77777777">
        <w:tc>
          <w:tcPr>
            <w:tcW w:w="7740" w:type="dxa"/>
            <w:tcBorders>
              <w:top w:val="single" w:sz="4" w:space="0" w:color="auto"/>
              <w:left w:val="single" w:sz="4" w:space="0" w:color="auto"/>
              <w:bottom w:val="single" w:sz="4" w:space="0" w:color="auto"/>
              <w:right w:val="single" w:sz="4" w:space="0" w:color="auto"/>
            </w:tcBorders>
            <w:hideMark/>
          </w:tcPr>
          <w:p w14:paraId="4A361BBB" w14:textId="77777777" w:rsidR="00DD4930" w:rsidRPr="00DD4930" w:rsidRDefault="00DD4930" w:rsidP="00DD4930">
            <w:pPr>
              <w:rPr>
                <w:b/>
              </w:rPr>
            </w:pPr>
            <w:r w:rsidRPr="00DD4930">
              <w:rPr>
                <w:b/>
              </w:rPr>
              <w:t>TOTAL</w:t>
            </w:r>
          </w:p>
        </w:tc>
        <w:tc>
          <w:tcPr>
            <w:tcW w:w="1080" w:type="dxa"/>
            <w:tcBorders>
              <w:top w:val="single" w:sz="4" w:space="0" w:color="auto"/>
              <w:left w:val="single" w:sz="4" w:space="0" w:color="auto"/>
              <w:bottom w:val="single" w:sz="4" w:space="0" w:color="auto"/>
              <w:right w:val="single" w:sz="4" w:space="0" w:color="auto"/>
            </w:tcBorders>
            <w:hideMark/>
          </w:tcPr>
          <w:p w14:paraId="18D2B00D" w14:textId="77777777" w:rsidR="00DD4930" w:rsidRPr="00DD4930" w:rsidRDefault="00DD4930" w:rsidP="00DD4930">
            <w:pPr>
              <w:rPr>
                <w:b/>
              </w:rPr>
            </w:pPr>
            <w:r w:rsidRPr="00DD4930">
              <w:rPr>
                <w:b/>
              </w:rPr>
              <w:t>400</w:t>
            </w:r>
          </w:p>
        </w:tc>
      </w:tr>
    </w:tbl>
    <w:p w14:paraId="74AEFC79" w14:textId="77777777" w:rsidR="00DD4930" w:rsidRPr="00DD4930" w:rsidRDefault="00DD4930" w:rsidP="00DD4930">
      <w:pPr>
        <w:rPr>
          <w:b/>
          <w:bCs/>
        </w:rPr>
      </w:pPr>
    </w:p>
    <w:p w14:paraId="7818A8E9" w14:textId="77777777" w:rsidR="00DD4930" w:rsidRPr="00DD4930" w:rsidRDefault="00DD4930" w:rsidP="00DD4930">
      <w:pPr>
        <w:rPr>
          <w:i/>
        </w:rPr>
      </w:pPr>
      <w:r w:rsidRPr="00DD4930">
        <w:rPr>
          <w:b/>
          <w:bCs/>
        </w:rPr>
        <w:t>Grades:</w:t>
      </w:r>
      <w:r w:rsidRPr="00DD4930">
        <w:t xml:space="preserve"> Final grades will be adjusted based on your overall class performance. Those who earn the A grade typically receive 90% or above of the total points (those earning 50% or below will receive an F grade).  </w:t>
      </w:r>
      <w:r w:rsidRPr="00DD4930">
        <w:rPr>
          <w:i/>
        </w:rPr>
        <w:t>Improvement during the semester will be taken into consideration in determining course grades in borderline cases.  University policy regarding incomplete grades will be followed.</w:t>
      </w:r>
    </w:p>
    <w:p w14:paraId="6514F5B1" w14:textId="77777777" w:rsidR="00DD4930" w:rsidRPr="00DD4930" w:rsidRDefault="00DD4930" w:rsidP="00DD4930">
      <w:pPr>
        <w:rPr>
          <w:b/>
        </w:rPr>
      </w:pPr>
    </w:p>
    <w:p w14:paraId="70227BA9" w14:textId="77777777" w:rsidR="00DD4930" w:rsidRPr="00DD4930" w:rsidRDefault="00DD4930" w:rsidP="00DD4930">
      <w:r w:rsidRPr="00DD4930">
        <w:rPr>
          <w:b/>
          <w:bCs/>
        </w:rPr>
        <w:t xml:space="preserve">INDIVIDUAL TERM PROJECT (an analytical and hands-on experience):  </w:t>
      </w:r>
      <w:r w:rsidRPr="00DD4930">
        <w:t xml:space="preserve">You will be using StockTrak, a virtual futures and options simulation web-based software, in this class to learn real-world trading of futures and options. </w:t>
      </w:r>
      <w:r w:rsidRPr="00DD4930">
        <w:rPr>
          <w:i/>
          <w:iCs/>
        </w:rPr>
        <w:t>The unique class registration link, which students will use to join this class is in the Term Project handout/attachment to this syllabus.</w:t>
      </w:r>
      <w:r w:rsidRPr="00DD4930">
        <w:t xml:space="preserve">  </w:t>
      </w:r>
      <w:r w:rsidRPr="00DD4930">
        <w:rPr>
          <w:b/>
          <w:bCs/>
          <w:i/>
          <w:iCs/>
        </w:rPr>
        <w:t>Details on the term paper project is in a separate document (User Manual) that accompanies this syllabus. Also available in Canvas under the “Term Paper” module.</w:t>
      </w:r>
      <w:r w:rsidRPr="00DD4930">
        <w:t xml:space="preserve"> </w:t>
      </w:r>
    </w:p>
    <w:p w14:paraId="75EF05F7" w14:textId="77777777" w:rsidR="00DD4930" w:rsidRPr="00DD4930" w:rsidRDefault="00DD4930" w:rsidP="00DD4930"/>
    <w:p w14:paraId="6DC4D36F" w14:textId="77777777" w:rsidR="00DD4930" w:rsidRPr="00DD4930" w:rsidRDefault="00DD4930" w:rsidP="00DD4930">
      <w:pPr>
        <w:rPr>
          <w:b/>
        </w:rPr>
      </w:pPr>
      <w:r w:rsidRPr="00DD4930">
        <w:rPr>
          <w:b/>
        </w:rPr>
        <w:t>IMPORTANT TERM PAPER DATES TO REMEMBER</w:t>
      </w:r>
      <w:r w:rsidRPr="00DD4930">
        <w:rPr>
          <w:b/>
          <w:vertAlign w:val="superscript"/>
        </w:rPr>
        <w:footnoteReference w:id="2"/>
      </w:r>
    </w:p>
    <w:p w14:paraId="32F02929" w14:textId="77777777" w:rsidR="00DD4930" w:rsidRDefault="00DD4930" w:rsidP="00DD4930">
      <w:pPr>
        <w:rPr>
          <w:b/>
          <w:i/>
        </w:rPr>
      </w:pPr>
      <w:r w:rsidRPr="00DD4930">
        <w:rPr>
          <w:b/>
          <w:i/>
        </w:rPr>
        <w:t>(assignments must be emailed as a Word file or as a Google doc link by the due date/time; late submission is penalized as per stated policy)</w:t>
      </w:r>
    </w:p>
    <w:p w14:paraId="5762D836" w14:textId="77777777" w:rsidR="00DD4930" w:rsidRPr="00DD4930" w:rsidRDefault="00DD4930" w:rsidP="00DD4930">
      <w:pPr>
        <w:rPr>
          <w:b/>
        </w:rPr>
      </w:pPr>
    </w:p>
    <w:tbl>
      <w:tblPr>
        <w:tblStyle w:val="TableGrid"/>
        <w:tblW w:w="0" w:type="auto"/>
        <w:tblInd w:w="625" w:type="dxa"/>
        <w:tblLook w:val="04A0" w:firstRow="1" w:lastRow="0" w:firstColumn="1" w:lastColumn="0" w:noHBand="0" w:noVBand="1"/>
      </w:tblPr>
      <w:tblGrid>
        <w:gridCol w:w="3330"/>
        <w:gridCol w:w="5748"/>
      </w:tblGrid>
      <w:tr w:rsidR="00DD4930" w:rsidRPr="00DD4930" w14:paraId="16A11AC6" w14:textId="77777777">
        <w:trPr>
          <w:trHeight w:val="548"/>
        </w:trPr>
        <w:tc>
          <w:tcPr>
            <w:tcW w:w="3330" w:type="dxa"/>
            <w:tcBorders>
              <w:top w:val="single" w:sz="4" w:space="0" w:color="auto"/>
              <w:left w:val="single" w:sz="4" w:space="0" w:color="auto"/>
              <w:bottom w:val="single" w:sz="4" w:space="0" w:color="auto"/>
              <w:right w:val="single" w:sz="4" w:space="0" w:color="auto"/>
            </w:tcBorders>
          </w:tcPr>
          <w:p w14:paraId="4267C9A9" w14:textId="77777777" w:rsidR="00DD4930" w:rsidRPr="00DD4930" w:rsidRDefault="00DD4930" w:rsidP="00DD4930">
            <w:pPr>
              <w:rPr>
                <w:b/>
              </w:rPr>
            </w:pPr>
          </w:p>
          <w:p w14:paraId="22B021FA" w14:textId="77777777" w:rsidR="00DD4930" w:rsidRPr="00DD4930" w:rsidRDefault="00DD4930" w:rsidP="00DD4930">
            <w:pPr>
              <w:rPr>
                <w:b/>
              </w:rPr>
            </w:pPr>
            <w:r w:rsidRPr="00DD4930">
              <w:rPr>
                <w:b/>
              </w:rPr>
              <w:t>DATES</w:t>
            </w:r>
          </w:p>
        </w:tc>
        <w:tc>
          <w:tcPr>
            <w:tcW w:w="5748" w:type="dxa"/>
            <w:tcBorders>
              <w:top w:val="single" w:sz="4" w:space="0" w:color="auto"/>
              <w:left w:val="single" w:sz="4" w:space="0" w:color="auto"/>
              <w:bottom w:val="single" w:sz="4" w:space="0" w:color="auto"/>
              <w:right w:val="single" w:sz="4" w:space="0" w:color="auto"/>
            </w:tcBorders>
          </w:tcPr>
          <w:p w14:paraId="5A143588" w14:textId="77777777" w:rsidR="00DD4930" w:rsidRPr="00DD4930" w:rsidRDefault="00DD4930" w:rsidP="00DD4930">
            <w:pPr>
              <w:rPr>
                <w:b/>
              </w:rPr>
            </w:pPr>
          </w:p>
          <w:p w14:paraId="545687B5" w14:textId="77777777" w:rsidR="00DD4930" w:rsidRPr="00DD4930" w:rsidRDefault="00DD4930" w:rsidP="00DD4930">
            <w:pPr>
              <w:rPr>
                <w:b/>
              </w:rPr>
            </w:pPr>
            <w:r w:rsidRPr="00DD4930">
              <w:rPr>
                <w:b/>
              </w:rPr>
              <w:t>TASKS</w:t>
            </w:r>
          </w:p>
        </w:tc>
      </w:tr>
      <w:tr w:rsidR="00DD4930" w:rsidRPr="00DD4930" w14:paraId="4C6DCE96" w14:textId="77777777">
        <w:trPr>
          <w:trHeight w:val="404"/>
        </w:trPr>
        <w:tc>
          <w:tcPr>
            <w:tcW w:w="3330" w:type="dxa"/>
            <w:tcBorders>
              <w:top w:val="single" w:sz="4" w:space="0" w:color="auto"/>
              <w:left w:val="single" w:sz="4" w:space="0" w:color="auto"/>
              <w:bottom w:val="single" w:sz="4" w:space="0" w:color="auto"/>
              <w:right w:val="single" w:sz="4" w:space="0" w:color="auto"/>
            </w:tcBorders>
            <w:hideMark/>
          </w:tcPr>
          <w:p w14:paraId="3D8CE69C" w14:textId="77777777" w:rsidR="00DD4930" w:rsidRPr="00DD4930" w:rsidRDefault="00DD4930" w:rsidP="00DD4930">
            <w:pPr>
              <w:rPr>
                <w:b/>
              </w:rPr>
            </w:pPr>
            <w:r w:rsidRPr="00DD4930">
              <w:rPr>
                <w:b/>
              </w:rPr>
              <w:t>Mid-February</w:t>
            </w:r>
          </w:p>
        </w:tc>
        <w:tc>
          <w:tcPr>
            <w:tcW w:w="5748" w:type="dxa"/>
            <w:tcBorders>
              <w:top w:val="single" w:sz="4" w:space="0" w:color="auto"/>
              <w:left w:val="single" w:sz="4" w:space="0" w:color="auto"/>
              <w:bottom w:val="single" w:sz="4" w:space="0" w:color="auto"/>
              <w:right w:val="single" w:sz="4" w:space="0" w:color="auto"/>
            </w:tcBorders>
            <w:hideMark/>
          </w:tcPr>
          <w:p w14:paraId="6177CFDA" w14:textId="77777777" w:rsidR="00DD4930" w:rsidRPr="00DD4930" w:rsidRDefault="00DD4930" w:rsidP="00DD4930">
            <w:pPr>
              <w:rPr>
                <w:bCs/>
              </w:rPr>
            </w:pPr>
            <w:r w:rsidRPr="00DD4930">
              <w:rPr>
                <w:bCs/>
              </w:rPr>
              <w:t>Futures market trading starts AFTER in-class demo by Prof. Bhuyan.</w:t>
            </w:r>
          </w:p>
        </w:tc>
      </w:tr>
      <w:tr w:rsidR="00DD4930" w:rsidRPr="00DD4930" w14:paraId="083E28D0" w14:textId="77777777">
        <w:trPr>
          <w:trHeight w:val="352"/>
        </w:trPr>
        <w:tc>
          <w:tcPr>
            <w:tcW w:w="3330" w:type="dxa"/>
            <w:tcBorders>
              <w:top w:val="single" w:sz="4" w:space="0" w:color="auto"/>
              <w:left w:val="single" w:sz="4" w:space="0" w:color="auto"/>
              <w:bottom w:val="single" w:sz="4" w:space="0" w:color="auto"/>
              <w:right w:val="single" w:sz="4" w:space="0" w:color="auto"/>
            </w:tcBorders>
            <w:hideMark/>
          </w:tcPr>
          <w:p w14:paraId="2B9B3C04" w14:textId="77777777" w:rsidR="00DD4930" w:rsidRPr="00DD4930" w:rsidRDefault="00DD4930" w:rsidP="00DD4930">
            <w:pPr>
              <w:rPr>
                <w:b/>
              </w:rPr>
            </w:pPr>
            <w:r w:rsidRPr="00DD4930">
              <w:rPr>
                <w:b/>
              </w:rPr>
              <w:t>Mid-March</w:t>
            </w:r>
          </w:p>
        </w:tc>
        <w:tc>
          <w:tcPr>
            <w:tcW w:w="5748" w:type="dxa"/>
            <w:tcBorders>
              <w:top w:val="single" w:sz="4" w:space="0" w:color="auto"/>
              <w:left w:val="single" w:sz="4" w:space="0" w:color="auto"/>
              <w:bottom w:val="single" w:sz="4" w:space="0" w:color="auto"/>
              <w:right w:val="single" w:sz="4" w:space="0" w:color="auto"/>
            </w:tcBorders>
            <w:hideMark/>
          </w:tcPr>
          <w:p w14:paraId="7D5A3207" w14:textId="77777777" w:rsidR="00DD4930" w:rsidRPr="00DD4930" w:rsidRDefault="00DD4930" w:rsidP="00DD4930">
            <w:pPr>
              <w:rPr>
                <w:bCs/>
                <w:iCs/>
              </w:rPr>
            </w:pPr>
            <w:r w:rsidRPr="00DD4930">
              <w:rPr>
                <w:bCs/>
                <w:iCs/>
              </w:rPr>
              <w:t xml:space="preserve">Submit the complete draft of the term project report AFTER spring break. Prof. Bhuyan will return with comments. </w:t>
            </w:r>
          </w:p>
        </w:tc>
      </w:tr>
      <w:tr w:rsidR="00DD4930" w:rsidRPr="00DD4930" w14:paraId="366AA982" w14:textId="77777777">
        <w:trPr>
          <w:trHeight w:val="352"/>
        </w:trPr>
        <w:tc>
          <w:tcPr>
            <w:tcW w:w="3330" w:type="dxa"/>
            <w:tcBorders>
              <w:top w:val="single" w:sz="4" w:space="0" w:color="auto"/>
              <w:left w:val="single" w:sz="4" w:space="0" w:color="auto"/>
              <w:bottom w:val="single" w:sz="4" w:space="0" w:color="auto"/>
              <w:right w:val="single" w:sz="4" w:space="0" w:color="auto"/>
            </w:tcBorders>
            <w:hideMark/>
          </w:tcPr>
          <w:p w14:paraId="53B06730" w14:textId="77777777" w:rsidR="00DD4930" w:rsidRPr="00DD4930" w:rsidRDefault="00DD4930" w:rsidP="00DD4930">
            <w:pPr>
              <w:rPr>
                <w:b/>
              </w:rPr>
            </w:pPr>
            <w:r w:rsidRPr="00DD4930">
              <w:rPr>
                <w:b/>
              </w:rPr>
              <w:t>Mid-April</w:t>
            </w:r>
          </w:p>
        </w:tc>
        <w:tc>
          <w:tcPr>
            <w:tcW w:w="5748" w:type="dxa"/>
            <w:tcBorders>
              <w:top w:val="single" w:sz="4" w:space="0" w:color="auto"/>
              <w:left w:val="single" w:sz="4" w:space="0" w:color="auto"/>
              <w:bottom w:val="single" w:sz="4" w:space="0" w:color="auto"/>
              <w:right w:val="single" w:sz="4" w:space="0" w:color="auto"/>
            </w:tcBorders>
            <w:hideMark/>
          </w:tcPr>
          <w:p w14:paraId="31737C0C" w14:textId="77777777" w:rsidR="00DD4930" w:rsidRPr="00DD4930" w:rsidRDefault="00DD4930" w:rsidP="00DD4930">
            <w:pPr>
              <w:rPr>
                <w:bCs/>
                <w:iCs/>
              </w:rPr>
            </w:pPr>
            <w:r w:rsidRPr="00DD4930">
              <w:rPr>
                <w:bCs/>
                <w:iCs/>
              </w:rPr>
              <w:t xml:space="preserve">You may be asked to submit a revised draft of your term paper project report. </w:t>
            </w:r>
          </w:p>
        </w:tc>
      </w:tr>
      <w:tr w:rsidR="00DD4930" w:rsidRPr="00DD4930" w14:paraId="06EF3714" w14:textId="77777777">
        <w:trPr>
          <w:trHeight w:val="737"/>
        </w:trPr>
        <w:tc>
          <w:tcPr>
            <w:tcW w:w="3330" w:type="dxa"/>
            <w:tcBorders>
              <w:top w:val="single" w:sz="4" w:space="0" w:color="auto"/>
              <w:left w:val="single" w:sz="4" w:space="0" w:color="auto"/>
              <w:bottom w:val="single" w:sz="4" w:space="0" w:color="auto"/>
              <w:right w:val="single" w:sz="4" w:space="0" w:color="auto"/>
            </w:tcBorders>
            <w:hideMark/>
          </w:tcPr>
          <w:p w14:paraId="34F5AF34" w14:textId="77777777" w:rsidR="00DD4930" w:rsidRPr="00DD4930" w:rsidRDefault="00DD4930" w:rsidP="00DD4930">
            <w:pPr>
              <w:rPr>
                <w:b/>
              </w:rPr>
            </w:pPr>
            <w:r w:rsidRPr="00DD4930">
              <w:rPr>
                <w:b/>
              </w:rPr>
              <w:lastRenderedPageBreak/>
              <w:t xml:space="preserve">Early May </w:t>
            </w:r>
            <w:r w:rsidRPr="00DD4930">
              <w:rPr>
                <w:bCs/>
              </w:rPr>
              <w:t>(depending on when the spring semester ends)</w:t>
            </w:r>
            <w:r w:rsidRPr="00DD4930">
              <w:rPr>
                <w:b/>
              </w:rPr>
              <w:t xml:space="preserve"> </w:t>
            </w:r>
          </w:p>
        </w:tc>
        <w:tc>
          <w:tcPr>
            <w:tcW w:w="5748" w:type="dxa"/>
            <w:tcBorders>
              <w:top w:val="single" w:sz="4" w:space="0" w:color="auto"/>
              <w:left w:val="single" w:sz="4" w:space="0" w:color="auto"/>
              <w:bottom w:val="single" w:sz="4" w:space="0" w:color="auto"/>
              <w:right w:val="single" w:sz="4" w:space="0" w:color="auto"/>
            </w:tcBorders>
            <w:hideMark/>
          </w:tcPr>
          <w:p w14:paraId="504F2299" w14:textId="77777777" w:rsidR="00DD4930" w:rsidRPr="00DD4930" w:rsidRDefault="00DD4930" w:rsidP="00DD4930">
            <w:pPr>
              <w:rPr>
                <w:bCs/>
              </w:rPr>
            </w:pPr>
            <w:r w:rsidRPr="00DD4930">
              <w:rPr>
                <w:bCs/>
              </w:rPr>
              <w:t xml:space="preserve">Final term paper project report is submitted via email (DO NOT use Canvas) as Word document or as a Google doc link. </w:t>
            </w:r>
          </w:p>
        </w:tc>
      </w:tr>
    </w:tbl>
    <w:p w14:paraId="24554368" w14:textId="77777777" w:rsidR="00980D03" w:rsidRDefault="00980D03" w:rsidP="00596B94"/>
    <w:p w14:paraId="1D103207" w14:textId="77777777" w:rsidR="00050BF1" w:rsidRPr="00596B94" w:rsidRDefault="00050BF1"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17"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8"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r>
        <w:t>Accommodations</w:t>
      </w:r>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9"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20"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767EB1B5" w14:textId="77777777" w:rsidR="00050BF1" w:rsidRDefault="0060357A" w:rsidP="00050BF1">
      <w:pPr>
        <w:rPr>
          <w:i/>
        </w:rPr>
      </w:pPr>
      <w:r w:rsidRPr="0060357A">
        <w:rPr>
          <w:i/>
        </w:rPr>
        <w:t>The schedule is subject to change.</w:t>
      </w:r>
    </w:p>
    <w:p w14:paraId="7BA75A05" w14:textId="77777777" w:rsidR="00596B94" w:rsidRDefault="00596B94" w:rsidP="001F6F76">
      <w:pPr>
        <w:rPr>
          <w:b/>
          <w:bCs/>
        </w:rPr>
      </w:pPr>
    </w:p>
    <w:tbl>
      <w:tblPr>
        <w:tblW w:w="10185" w:type="dxa"/>
        <w:tblInd w:w="120" w:type="dxa"/>
        <w:tblLayout w:type="fixed"/>
        <w:tblCellMar>
          <w:left w:w="120" w:type="dxa"/>
          <w:right w:w="120" w:type="dxa"/>
        </w:tblCellMar>
        <w:tblLook w:val="04A0" w:firstRow="1" w:lastRow="0" w:firstColumn="1" w:lastColumn="0" w:noHBand="0" w:noVBand="1"/>
      </w:tblPr>
      <w:tblGrid>
        <w:gridCol w:w="1586"/>
        <w:gridCol w:w="5583"/>
        <w:gridCol w:w="3016"/>
      </w:tblGrid>
      <w:tr w:rsidR="00DD4930" w:rsidRPr="00DD4930" w14:paraId="120106B8" w14:textId="77777777">
        <w:trPr>
          <w:cantSplit/>
          <w:trHeight w:val="751"/>
        </w:trPr>
        <w:tc>
          <w:tcPr>
            <w:tcW w:w="10180" w:type="dxa"/>
            <w:gridSpan w:val="3"/>
            <w:tcBorders>
              <w:top w:val="single" w:sz="4" w:space="0" w:color="auto"/>
              <w:left w:val="single" w:sz="4" w:space="0" w:color="auto"/>
              <w:bottom w:val="single" w:sz="4" w:space="0" w:color="auto"/>
              <w:right w:val="single" w:sz="4" w:space="0" w:color="auto"/>
            </w:tcBorders>
            <w:hideMark/>
          </w:tcPr>
          <w:p w14:paraId="2982F255" w14:textId="77777777" w:rsidR="00DD4930" w:rsidRPr="00DD4930" w:rsidRDefault="00DD4930" w:rsidP="00DD4930">
            <w:r w:rsidRPr="00DD4930">
              <w:rPr>
                <w:b/>
                <w:bCs/>
              </w:rPr>
              <w:t>Course Outline and Reading Assignments</w:t>
            </w:r>
          </w:p>
          <w:p w14:paraId="1F977F72" w14:textId="77777777" w:rsidR="00DD4930" w:rsidRPr="00DD4930" w:rsidRDefault="00DD4930" w:rsidP="00DD4930">
            <w:r w:rsidRPr="00DD4930">
              <w:t>(subject to change as deemed necessary)</w:t>
            </w:r>
          </w:p>
        </w:tc>
      </w:tr>
      <w:tr w:rsidR="00DD4930" w:rsidRPr="00DD4930" w14:paraId="2D6B5797" w14:textId="77777777">
        <w:trPr>
          <w:cantSplit/>
          <w:trHeight w:val="646"/>
        </w:trPr>
        <w:tc>
          <w:tcPr>
            <w:tcW w:w="1585" w:type="dxa"/>
            <w:tcBorders>
              <w:top w:val="single" w:sz="4" w:space="0" w:color="auto"/>
              <w:left w:val="single" w:sz="6" w:space="0" w:color="000000"/>
              <w:bottom w:val="single" w:sz="12" w:space="0" w:color="000000"/>
              <w:right w:val="nil"/>
            </w:tcBorders>
            <w:shd w:val="pct10" w:color="000000" w:fill="FFFFFF"/>
            <w:hideMark/>
          </w:tcPr>
          <w:p w14:paraId="4C6B6D33" w14:textId="77777777" w:rsidR="00DD4930" w:rsidRPr="00DD4930" w:rsidRDefault="00DD4930" w:rsidP="00DD4930">
            <w:r w:rsidRPr="00DD4930">
              <w:rPr>
                <w:b/>
                <w:bCs/>
              </w:rPr>
              <w:t>Class meetings</w:t>
            </w:r>
          </w:p>
        </w:tc>
        <w:tc>
          <w:tcPr>
            <w:tcW w:w="5580" w:type="dxa"/>
            <w:tcBorders>
              <w:top w:val="single" w:sz="4" w:space="0" w:color="auto"/>
              <w:left w:val="single" w:sz="6" w:space="0" w:color="000000"/>
              <w:bottom w:val="single" w:sz="12" w:space="0" w:color="000000"/>
              <w:right w:val="single" w:sz="6" w:space="0" w:color="000000"/>
            </w:tcBorders>
            <w:shd w:val="pct10" w:color="000000" w:fill="FFFFFF"/>
            <w:hideMark/>
          </w:tcPr>
          <w:p w14:paraId="50492BBF" w14:textId="77777777" w:rsidR="00DD4930" w:rsidRPr="00DD4930" w:rsidRDefault="00DD4930" w:rsidP="00DD4930">
            <w:r w:rsidRPr="00DD4930">
              <w:rPr>
                <w:b/>
                <w:bCs/>
              </w:rPr>
              <w:t>Topics</w:t>
            </w:r>
          </w:p>
        </w:tc>
        <w:tc>
          <w:tcPr>
            <w:tcW w:w="3015" w:type="dxa"/>
            <w:tcBorders>
              <w:top w:val="single" w:sz="4" w:space="0" w:color="auto"/>
              <w:left w:val="single" w:sz="6" w:space="0" w:color="000000"/>
              <w:bottom w:val="single" w:sz="12" w:space="0" w:color="000000"/>
              <w:right w:val="single" w:sz="6" w:space="0" w:color="000000"/>
            </w:tcBorders>
            <w:shd w:val="pct10" w:color="000000" w:fill="FFFFFF"/>
          </w:tcPr>
          <w:p w14:paraId="22201FA5" w14:textId="77777777" w:rsidR="00DD4930" w:rsidRPr="00DD4930" w:rsidRDefault="00DD4930" w:rsidP="00DD4930">
            <w:pPr>
              <w:rPr>
                <w:b/>
                <w:bCs/>
              </w:rPr>
            </w:pPr>
            <w:r w:rsidRPr="00DD4930">
              <w:rPr>
                <w:b/>
                <w:bCs/>
              </w:rPr>
              <w:t xml:space="preserve">Assignment </w:t>
            </w:r>
          </w:p>
          <w:p w14:paraId="456ACDF0" w14:textId="77777777" w:rsidR="00DD4930" w:rsidRPr="00DD4930" w:rsidRDefault="00DD4930" w:rsidP="00DD4930">
            <w:pPr>
              <w:rPr>
                <w:b/>
                <w:bCs/>
              </w:rPr>
            </w:pPr>
          </w:p>
        </w:tc>
      </w:tr>
      <w:tr w:rsidR="00DD4930" w:rsidRPr="00DD4930" w14:paraId="56C1CEF6" w14:textId="77777777">
        <w:trPr>
          <w:cantSplit/>
          <w:trHeight w:val="1014"/>
        </w:trPr>
        <w:tc>
          <w:tcPr>
            <w:tcW w:w="1585" w:type="dxa"/>
            <w:tcBorders>
              <w:top w:val="single" w:sz="6" w:space="0" w:color="000000"/>
              <w:left w:val="single" w:sz="6" w:space="0" w:color="000000"/>
              <w:bottom w:val="nil"/>
              <w:right w:val="nil"/>
            </w:tcBorders>
            <w:hideMark/>
          </w:tcPr>
          <w:p w14:paraId="0A0C08CF" w14:textId="77777777" w:rsidR="00DD4930" w:rsidRPr="00DD4930" w:rsidRDefault="00DD4930" w:rsidP="00DD4930">
            <w:r w:rsidRPr="00DD4930">
              <w:t>1, 2, 3</w:t>
            </w:r>
          </w:p>
        </w:tc>
        <w:tc>
          <w:tcPr>
            <w:tcW w:w="5580" w:type="dxa"/>
            <w:tcBorders>
              <w:top w:val="single" w:sz="6" w:space="0" w:color="000000"/>
              <w:left w:val="single" w:sz="6" w:space="0" w:color="000000"/>
              <w:bottom w:val="nil"/>
              <w:right w:val="single" w:sz="6" w:space="0" w:color="000000"/>
            </w:tcBorders>
            <w:hideMark/>
          </w:tcPr>
          <w:p w14:paraId="0ABAB595" w14:textId="77777777" w:rsidR="00DD4930" w:rsidRPr="00DD4930" w:rsidRDefault="00DD4930" w:rsidP="00DD4930">
            <w:pPr>
              <w:numPr>
                <w:ilvl w:val="0"/>
                <w:numId w:val="64"/>
              </w:numPr>
            </w:pPr>
            <w:r w:rsidRPr="00DD4930">
              <w:rPr>
                <w:b/>
                <w:bCs/>
              </w:rPr>
              <w:t>Topic 1:</w:t>
            </w:r>
            <w:r w:rsidRPr="00DD4930">
              <w:t xml:space="preserve"> Introduction to Derivatives (Futures and Options)</w:t>
            </w:r>
          </w:p>
          <w:p w14:paraId="37D4DA70" w14:textId="77777777" w:rsidR="00DD4930" w:rsidRPr="00DD4930" w:rsidRDefault="00DD4930" w:rsidP="00DD4930">
            <w:pPr>
              <w:numPr>
                <w:ilvl w:val="0"/>
                <w:numId w:val="64"/>
              </w:numPr>
            </w:pPr>
            <w:r w:rsidRPr="00DD4930">
              <w:t>Syllabus explained.</w:t>
            </w:r>
          </w:p>
          <w:p w14:paraId="7BCCD533" w14:textId="77777777" w:rsidR="00DD4930" w:rsidRPr="00DD4930" w:rsidRDefault="00DD4930" w:rsidP="00DD4930">
            <w:r w:rsidRPr="00DD4930">
              <w:rPr>
                <w:i/>
                <w:iCs/>
              </w:rPr>
              <w:t>Reading Assignment:</w:t>
            </w:r>
            <w:r w:rsidRPr="00DD4930">
              <w:t xml:space="preserve"> Hull Ch. 1</w:t>
            </w:r>
          </w:p>
        </w:tc>
        <w:tc>
          <w:tcPr>
            <w:tcW w:w="3015" w:type="dxa"/>
            <w:tcBorders>
              <w:top w:val="single" w:sz="6" w:space="0" w:color="000000"/>
              <w:left w:val="single" w:sz="6" w:space="0" w:color="000000"/>
              <w:bottom w:val="nil"/>
              <w:right w:val="single" w:sz="6" w:space="0" w:color="000000"/>
            </w:tcBorders>
            <w:hideMark/>
          </w:tcPr>
          <w:p w14:paraId="7C1BEF8C" w14:textId="77777777" w:rsidR="00DD4930" w:rsidRPr="00DD4930" w:rsidRDefault="00DD4930" w:rsidP="00DD4930">
            <w:r w:rsidRPr="00DD4930">
              <w:t>Read Ch.1 and other resources mentioned in the syllabus</w:t>
            </w:r>
          </w:p>
        </w:tc>
      </w:tr>
      <w:tr w:rsidR="00DD4930" w:rsidRPr="00DD4930" w14:paraId="0C677411" w14:textId="77777777">
        <w:trPr>
          <w:cantSplit/>
          <w:trHeight w:val="671"/>
        </w:trPr>
        <w:tc>
          <w:tcPr>
            <w:tcW w:w="1585" w:type="dxa"/>
            <w:tcBorders>
              <w:top w:val="single" w:sz="6" w:space="0" w:color="000000"/>
              <w:left w:val="single" w:sz="6" w:space="0" w:color="000000"/>
              <w:bottom w:val="nil"/>
              <w:right w:val="nil"/>
            </w:tcBorders>
            <w:shd w:val="pct10" w:color="000000" w:fill="FFFFFF"/>
            <w:hideMark/>
          </w:tcPr>
          <w:p w14:paraId="642D8C01" w14:textId="77777777" w:rsidR="00DD4930" w:rsidRPr="00DD4930" w:rsidRDefault="00DD4930" w:rsidP="00DD4930">
            <w:r w:rsidRPr="00DD4930">
              <w:t>4, 5, 6</w:t>
            </w:r>
          </w:p>
        </w:tc>
        <w:tc>
          <w:tcPr>
            <w:tcW w:w="5580" w:type="dxa"/>
            <w:tcBorders>
              <w:top w:val="single" w:sz="6" w:space="0" w:color="000000"/>
              <w:left w:val="single" w:sz="6" w:space="0" w:color="000000"/>
              <w:bottom w:val="nil"/>
              <w:right w:val="single" w:sz="6" w:space="0" w:color="000000"/>
            </w:tcBorders>
            <w:shd w:val="pct10" w:color="000000" w:fill="FFFFFF"/>
            <w:hideMark/>
          </w:tcPr>
          <w:p w14:paraId="4260FDFF" w14:textId="77777777" w:rsidR="00DD4930" w:rsidRPr="00DD4930" w:rsidRDefault="00DD4930" w:rsidP="00DD4930">
            <w:pPr>
              <w:numPr>
                <w:ilvl w:val="0"/>
                <w:numId w:val="65"/>
              </w:numPr>
            </w:pPr>
            <w:r w:rsidRPr="00DD4930">
              <w:rPr>
                <w:b/>
                <w:bCs/>
              </w:rPr>
              <w:t>Topic 2:</w:t>
            </w:r>
            <w:r w:rsidRPr="00DD4930">
              <w:t xml:space="preserve"> Structure of the Derivative Markets</w:t>
            </w:r>
          </w:p>
          <w:p w14:paraId="1DFCEE3D" w14:textId="77777777" w:rsidR="00DD4930" w:rsidRPr="00DD4930" w:rsidRDefault="00DD4930" w:rsidP="00DD4930">
            <w:r w:rsidRPr="00DD4930">
              <w:rPr>
                <w:i/>
                <w:iCs/>
              </w:rPr>
              <w:t>Reading Assignment:</w:t>
            </w:r>
            <w:r w:rsidRPr="00DD4930">
              <w:t xml:space="preserve"> Hull Ch. 2</w:t>
            </w:r>
          </w:p>
        </w:tc>
        <w:tc>
          <w:tcPr>
            <w:tcW w:w="3015" w:type="dxa"/>
            <w:tcBorders>
              <w:top w:val="single" w:sz="6" w:space="0" w:color="000000"/>
              <w:left w:val="single" w:sz="6" w:space="0" w:color="000000"/>
              <w:bottom w:val="nil"/>
              <w:right w:val="single" w:sz="6" w:space="0" w:color="000000"/>
            </w:tcBorders>
            <w:shd w:val="pct10" w:color="000000" w:fill="FFFFFF"/>
            <w:hideMark/>
          </w:tcPr>
          <w:p w14:paraId="0B4C6265" w14:textId="77777777" w:rsidR="00DD4930" w:rsidRPr="00DD4930" w:rsidRDefault="00DD4930" w:rsidP="00DD4930">
            <w:r w:rsidRPr="00DD4930">
              <w:t>Read Ch.2 and other resources mentioned in the syllabus</w:t>
            </w:r>
          </w:p>
        </w:tc>
      </w:tr>
      <w:tr w:rsidR="00DD4930" w:rsidRPr="00DD4930" w14:paraId="1AC461D7" w14:textId="77777777">
        <w:trPr>
          <w:cantSplit/>
          <w:trHeight w:val="671"/>
        </w:trPr>
        <w:tc>
          <w:tcPr>
            <w:tcW w:w="1585" w:type="dxa"/>
            <w:tcBorders>
              <w:top w:val="single" w:sz="6" w:space="0" w:color="000000"/>
              <w:left w:val="single" w:sz="6" w:space="0" w:color="000000"/>
              <w:bottom w:val="nil"/>
              <w:right w:val="nil"/>
            </w:tcBorders>
            <w:hideMark/>
          </w:tcPr>
          <w:p w14:paraId="77DC6C91" w14:textId="77777777" w:rsidR="00DD4930" w:rsidRPr="00DD4930" w:rsidRDefault="00DD4930" w:rsidP="00DD4930">
            <w:r w:rsidRPr="00DD4930">
              <w:t xml:space="preserve"> 7, 8, 9, 10</w:t>
            </w:r>
          </w:p>
        </w:tc>
        <w:tc>
          <w:tcPr>
            <w:tcW w:w="5580" w:type="dxa"/>
            <w:tcBorders>
              <w:top w:val="single" w:sz="6" w:space="0" w:color="000000"/>
              <w:left w:val="single" w:sz="6" w:space="0" w:color="000000"/>
              <w:bottom w:val="nil"/>
              <w:right w:val="single" w:sz="6" w:space="0" w:color="000000"/>
            </w:tcBorders>
            <w:hideMark/>
          </w:tcPr>
          <w:p w14:paraId="5E3DDFF3" w14:textId="77777777" w:rsidR="00DD4930" w:rsidRPr="00DD4930" w:rsidRDefault="00DD4930" w:rsidP="00DD4930">
            <w:pPr>
              <w:numPr>
                <w:ilvl w:val="0"/>
                <w:numId w:val="66"/>
              </w:numPr>
            </w:pPr>
            <w:r w:rsidRPr="00DD4930">
              <w:rPr>
                <w:b/>
                <w:bCs/>
              </w:rPr>
              <w:t>Topic 3:</w:t>
            </w:r>
            <w:r w:rsidRPr="00DD4930">
              <w:t xml:space="preserve"> Hedging Strategies using Futures</w:t>
            </w:r>
          </w:p>
          <w:p w14:paraId="06C54F10" w14:textId="77777777" w:rsidR="00DD4930" w:rsidRPr="00DD4930" w:rsidRDefault="00DD4930" w:rsidP="00DD4930">
            <w:r w:rsidRPr="00DD4930">
              <w:rPr>
                <w:i/>
                <w:iCs/>
              </w:rPr>
              <w:t>Reading Assignment:</w:t>
            </w:r>
            <w:r w:rsidRPr="00DD4930">
              <w:t xml:space="preserve"> Hull Ch. 3</w:t>
            </w:r>
          </w:p>
        </w:tc>
        <w:tc>
          <w:tcPr>
            <w:tcW w:w="3015" w:type="dxa"/>
            <w:tcBorders>
              <w:top w:val="single" w:sz="6" w:space="0" w:color="000000"/>
              <w:left w:val="single" w:sz="6" w:space="0" w:color="000000"/>
              <w:bottom w:val="nil"/>
              <w:right w:val="single" w:sz="6" w:space="0" w:color="000000"/>
            </w:tcBorders>
            <w:hideMark/>
          </w:tcPr>
          <w:p w14:paraId="5A76CDDC" w14:textId="77777777" w:rsidR="00DD4930" w:rsidRPr="00DD4930" w:rsidRDefault="00DD4930" w:rsidP="00DD4930">
            <w:r w:rsidRPr="00DD4930">
              <w:t>Read Ch.3 and other resources mentioned in the syllabus</w:t>
            </w:r>
          </w:p>
        </w:tc>
      </w:tr>
      <w:tr w:rsidR="00DD4930" w:rsidRPr="00DD4930" w14:paraId="28D5489C" w14:textId="77777777">
        <w:trPr>
          <w:cantSplit/>
          <w:trHeight w:val="671"/>
        </w:trPr>
        <w:tc>
          <w:tcPr>
            <w:tcW w:w="1585" w:type="dxa"/>
            <w:tcBorders>
              <w:top w:val="single" w:sz="6" w:space="0" w:color="000000"/>
              <w:left w:val="single" w:sz="6" w:space="0" w:color="000000"/>
              <w:bottom w:val="nil"/>
              <w:right w:val="nil"/>
            </w:tcBorders>
            <w:shd w:val="pct10" w:color="000000" w:fill="FFFFFF"/>
            <w:hideMark/>
          </w:tcPr>
          <w:p w14:paraId="7AEA44AD" w14:textId="77777777" w:rsidR="00DD4930" w:rsidRPr="00DD4930" w:rsidRDefault="00DD4930" w:rsidP="00DD4930">
            <w:r w:rsidRPr="00DD4930">
              <w:t xml:space="preserve"> 11, 12, 13, 14</w:t>
            </w:r>
          </w:p>
        </w:tc>
        <w:tc>
          <w:tcPr>
            <w:tcW w:w="5580" w:type="dxa"/>
            <w:tcBorders>
              <w:top w:val="single" w:sz="6" w:space="0" w:color="000000"/>
              <w:left w:val="single" w:sz="6" w:space="0" w:color="000000"/>
              <w:bottom w:val="nil"/>
              <w:right w:val="single" w:sz="6" w:space="0" w:color="000000"/>
            </w:tcBorders>
            <w:shd w:val="pct10" w:color="000000" w:fill="FFFFFF"/>
            <w:hideMark/>
          </w:tcPr>
          <w:p w14:paraId="08599D4F" w14:textId="77777777" w:rsidR="00DD4930" w:rsidRPr="00DD4930" w:rsidRDefault="00DD4930" w:rsidP="00DD4930">
            <w:pPr>
              <w:numPr>
                <w:ilvl w:val="0"/>
                <w:numId w:val="66"/>
              </w:numPr>
            </w:pPr>
            <w:r w:rsidRPr="00DD4930">
              <w:rPr>
                <w:b/>
                <w:bCs/>
              </w:rPr>
              <w:t xml:space="preserve">Topic 4: </w:t>
            </w:r>
            <w:r w:rsidRPr="00DD4930">
              <w:t>Determination of Forward and Futures Prices</w:t>
            </w:r>
          </w:p>
          <w:p w14:paraId="70F487EF" w14:textId="77777777" w:rsidR="00DD4930" w:rsidRPr="00DD4930" w:rsidRDefault="00DD4930" w:rsidP="00DD4930">
            <w:r w:rsidRPr="00DD4930">
              <w:rPr>
                <w:i/>
                <w:iCs/>
              </w:rPr>
              <w:t>Reading Assignment:</w:t>
            </w:r>
            <w:r w:rsidRPr="00DD4930">
              <w:t xml:space="preserve"> Hull Ch. 5</w:t>
            </w:r>
          </w:p>
        </w:tc>
        <w:tc>
          <w:tcPr>
            <w:tcW w:w="3015" w:type="dxa"/>
            <w:tcBorders>
              <w:top w:val="single" w:sz="6" w:space="0" w:color="000000"/>
              <w:left w:val="single" w:sz="6" w:space="0" w:color="000000"/>
              <w:bottom w:val="nil"/>
              <w:right w:val="single" w:sz="6" w:space="0" w:color="000000"/>
            </w:tcBorders>
            <w:shd w:val="pct10" w:color="000000" w:fill="FFFFFF"/>
            <w:hideMark/>
          </w:tcPr>
          <w:p w14:paraId="700FCA6A" w14:textId="77777777" w:rsidR="00DD4930" w:rsidRPr="00DD4930" w:rsidRDefault="00DD4930" w:rsidP="00DD4930">
            <w:r w:rsidRPr="00DD4930">
              <w:t>Read Ch.5 and other resources mentioned in the syllabus</w:t>
            </w:r>
          </w:p>
        </w:tc>
      </w:tr>
      <w:tr w:rsidR="00DD4930" w:rsidRPr="00DD4930" w14:paraId="6E5CA800" w14:textId="77777777">
        <w:trPr>
          <w:cantSplit/>
          <w:trHeight w:val="646"/>
        </w:trPr>
        <w:tc>
          <w:tcPr>
            <w:tcW w:w="1585" w:type="dxa"/>
            <w:tcBorders>
              <w:top w:val="single" w:sz="6" w:space="0" w:color="000000"/>
              <w:left w:val="single" w:sz="6" w:space="0" w:color="000000"/>
              <w:bottom w:val="nil"/>
              <w:right w:val="nil"/>
            </w:tcBorders>
            <w:hideMark/>
          </w:tcPr>
          <w:p w14:paraId="194F4524" w14:textId="77777777" w:rsidR="00DD4930" w:rsidRPr="00DD4930" w:rsidRDefault="00DD4930" w:rsidP="00DD4930">
            <w:pPr>
              <w:rPr>
                <w:b/>
                <w:bCs/>
              </w:rPr>
            </w:pPr>
            <w:r w:rsidRPr="00DD4930">
              <w:rPr>
                <w:b/>
                <w:bCs/>
              </w:rPr>
              <w:t>15 (Mar 12</w:t>
            </w:r>
            <w:r w:rsidRPr="00DD4930">
              <w:rPr>
                <w:b/>
                <w:bCs/>
                <w:vertAlign w:val="superscript"/>
              </w:rPr>
              <w:t>th</w:t>
            </w:r>
            <w:r w:rsidRPr="00DD4930">
              <w:rPr>
                <w:b/>
                <w:bCs/>
              </w:rPr>
              <w:t xml:space="preserve">) </w:t>
            </w:r>
          </w:p>
        </w:tc>
        <w:tc>
          <w:tcPr>
            <w:tcW w:w="5580" w:type="dxa"/>
            <w:tcBorders>
              <w:top w:val="single" w:sz="6" w:space="0" w:color="000000"/>
              <w:left w:val="single" w:sz="6" w:space="0" w:color="000000"/>
              <w:bottom w:val="nil"/>
              <w:right w:val="single" w:sz="6" w:space="0" w:color="000000"/>
            </w:tcBorders>
          </w:tcPr>
          <w:p w14:paraId="111C3FF6" w14:textId="77777777" w:rsidR="00DD4930" w:rsidRPr="00DD4930" w:rsidRDefault="00DD4930" w:rsidP="00DD4930">
            <w:pPr>
              <w:rPr>
                <w:b/>
              </w:rPr>
            </w:pPr>
            <w:r w:rsidRPr="00DD4930">
              <w:rPr>
                <w:b/>
              </w:rPr>
              <w:t>First Exam</w:t>
            </w:r>
          </w:p>
          <w:p w14:paraId="03CE7798" w14:textId="77777777" w:rsidR="00DD4930" w:rsidRPr="00DD4930" w:rsidRDefault="00DD4930" w:rsidP="00DD4930"/>
        </w:tc>
        <w:tc>
          <w:tcPr>
            <w:tcW w:w="3015" w:type="dxa"/>
            <w:tcBorders>
              <w:top w:val="single" w:sz="6" w:space="0" w:color="000000"/>
              <w:left w:val="single" w:sz="6" w:space="0" w:color="000000"/>
              <w:bottom w:val="nil"/>
              <w:right w:val="single" w:sz="6" w:space="0" w:color="000000"/>
            </w:tcBorders>
            <w:hideMark/>
          </w:tcPr>
          <w:p w14:paraId="22CEB0AD" w14:textId="77777777" w:rsidR="00DD4930" w:rsidRPr="00DD4930" w:rsidRDefault="00DD4930" w:rsidP="00DD4930">
            <w:r w:rsidRPr="00DD4930">
              <w:rPr>
                <w:b/>
              </w:rPr>
              <w:t>Good luck!</w:t>
            </w:r>
          </w:p>
        </w:tc>
      </w:tr>
      <w:tr w:rsidR="00DD4930" w:rsidRPr="00DD4930" w14:paraId="456AC02D" w14:textId="77777777">
        <w:trPr>
          <w:cantSplit/>
          <w:trHeight w:val="671"/>
        </w:trPr>
        <w:tc>
          <w:tcPr>
            <w:tcW w:w="1585" w:type="dxa"/>
            <w:tcBorders>
              <w:top w:val="single" w:sz="6" w:space="0" w:color="000000"/>
              <w:left w:val="single" w:sz="6" w:space="0" w:color="000000"/>
              <w:bottom w:val="nil"/>
              <w:right w:val="nil"/>
            </w:tcBorders>
            <w:shd w:val="pct10" w:color="000000" w:fill="FFFFFF"/>
            <w:hideMark/>
          </w:tcPr>
          <w:p w14:paraId="73A5E8F4" w14:textId="77777777" w:rsidR="00DD4930" w:rsidRPr="00DD4930" w:rsidRDefault="00DD4930" w:rsidP="00DD4930">
            <w:r w:rsidRPr="00DD4930">
              <w:t>16, 17, 18, 19, 20</w:t>
            </w:r>
          </w:p>
        </w:tc>
        <w:tc>
          <w:tcPr>
            <w:tcW w:w="5580" w:type="dxa"/>
            <w:tcBorders>
              <w:top w:val="single" w:sz="6" w:space="0" w:color="000000"/>
              <w:left w:val="single" w:sz="6" w:space="0" w:color="000000"/>
              <w:bottom w:val="nil"/>
              <w:right w:val="single" w:sz="6" w:space="0" w:color="000000"/>
            </w:tcBorders>
            <w:shd w:val="pct10" w:color="000000" w:fill="FFFFFF"/>
          </w:tcPr>
          <w:p w14:paraId="3EE6DAA4" w14:textId="77777777" w:rsidR="00DD4930" w:rsidRPr="00DD4930" w:rsidRDefault="00DD4930" w:rsidP="00DD4930">
            <w:pPr>
              <w:numPr>
                <w:ilvl w:val="0"/>
                <w:numId w:val="66"/>
              </w:numPr>
            </w:pPr>
            <w:r w:rsidRPr="00DD4930">
              <w:rPr>
                <w:b/>
                <w:bCs/>
              </w:rPr>
              <w:t>Topic 5:</w:t>
            </w:r>
            <w:r w:rsidRPr="00DD4930">
              <w:t xml:space="preserve"> Mechanics of Options Markets (Spot options and Futures options; Black’s model of options pricing, Binomial trees)</w:t>
            </w:r>
          </w:p>
          <w:p w14:paraId="395EA51D" w14:textId="77777777" w:rsidR="00DD4930" w:rsidRPr="00DD4930" w:rsidRDefault="00DD4930" w:rsidP="00DD4930">
            <w:r w:rsidRPr="00DD4930">
              <w:rPr>
                <w:i/>
                <w:iCs/>
              </w:rPr>
              <w:t>Reading Assignment:</w:t>
            </w:r>
            <w:r w:rsidRPr="00DD4930">
              <w:t xml:space="preserve"> Hull Ch. 9, 12, &amp; 16</w:t>
            </w:r>
          </w:p>
          <w:p w14:paraId="7EF113B6" w14:textId="77777777" w:rsidR="00DD4930" w:rsidRPr="00DD4930" w:rsidRDefault="00DD4930" w:rsidP="00DD4930"/>
        </w:tc>
        <w:tc>
          <w:tcPr>
            <w:tcW w:w="3015" w:type="dxa"/>
            <w:tcBorders>
              <w:top w:val="single" w:sz="6" w:space="0" w:color="000000"/>
              <w:left w:val="single" w:sz="6" w:space="0" w:color="000000"/>
              <w:bottom w:val="nil"/>
              <w:right w:val="single" w:sz="6" w:space="0" w:color="000000"/>
            </w:tcBorders>
            <w:shd w:val="pct10" w:color="000000" w:fill="FFFFFF"/>
            <w:hideMark/>
          </w:tcPr>
          <w:p w14:paraId="018E2695" w14:textId="77777777" w:rsidR="00DD4930" w:rsidRPr="00DD4930" w:rsidRDefault="00DD4930" w:rsidP="00DD4930">
            <w:r w:rsidRPr="00DD4930">
              <w:t>Read Ch.9, 12 &amp; 16 and other resources mentioned in the syllabus</w:t>
            </w:r>
          </w:p>
        </w:tc>
      </w:tr>
      <w:tr w:rsidR="00DD4930" w:rsidRPr="00DD4930" w14:paraId="3348DFAA" w14:textId="77777777">
        <w:trPr>
          <w:cantSplit/>
          <w:trHeight w:val="671"/>
        </w:trPr>
        <w:tc>
          <w:tcPr>
            <w:tcW w:w="1585" w:type="dxa"/>
            <w:tcBorders>
              <w:top w:val="single" w:sz="6" w:space="0" w:color="000000"/>
              <w:left w:val="single" w:sz="6" w:space="0" w:color="000000"/>
              <w:bottom w:val="nil"/>
              <w:right w:val="nil"/>
            </w:tcBorders>
          </w:tcPr>
          <w:p w14:paraId="2B5B51F8" w14:textId="77777777" w:rsidR="00DD4930" w:rsidRPr="00DD4930" w:rsidRDefault="00DD4930" w:rsidP="00DD4930">
            <w:r w:rsidRPr="00DD4930">
              <w:t>21, 22, 23, 24</w:t>
            </w:r>
          </w:p>
          <w:p w14:paraId="6964714E" w14:textId="77777777" w:rsidR="00DD4930" w:rsidRPr="00DD4930" w:rsidRDefault="00DD4930" w:rsidP="00DD4930"/>
        </w:tc>
        <w:tc>
          <w:tcPr>
            <w:tcW w:w="5580" w:type="dxa"/>
            <w:tcBorders>
              <w:top w:val="single" w:sz="6" w:space="0" w:color="000000"/>
              <w:left w:val="single" w:sz="6" w:space="0" w:color="000000"/>
              <w:bottom w:val="nil"/>
              <w:right w:val="single" w:sz="6" w:space="0" w:color="000000"/>
            </w:tcBorders>
            <w:hideMark/>
          </w:tcPr>
          <w:p w14:paraId="4D5BB1D9" w14:textId="77777777" w:rsidR="00DD4930" w:rsidRPr="00DD4930" w:rsidRDefault="00DD4930" w:rsidP="00DD4930">
            <w:pPr>
              <w:numPr>
                <w:ilvl w:val="0"/>
                <w:numId w:val="66"/>
              </w:numPr>
            </w:pPr>
            <w:r w:rsidRPr="00DD4930">
              <w:rPr>
                <w:b/>
                <w:bCs/>
              </w:rPr>
              <w:t>Topic 6:</w:t>
            </w:r>
            <w:r w:rsidRPr="00DD4930">
              <w:t xml:space="preserve"> Properties of Stock Options</w:t>
            </w:r>
          </w:p>
          <w:p w14:paraId="51C2BCFB" w14:textId="77777777" w:rsidR="00DD4930" w:rsidRPr="00DD4930" w:rsidRDefault="00DD4930" w:rsidP="00DD4930">
            <w:r w:rsidRPr="00DD4930">
              <w:rPr>
                <w:i/>
                <w:iCs/>
              </w:rPr>
              <w:t>Reading Assignment:</w:t>
            </w:r>
            <w:r w:rsidRPr="00DD4930">
              <w:t xml:space="preserve"> Hull Ch. 10</w:t>
            </w:r>
          </w:p>
        </w:tc>
        <w:tc>
          <w:tcPr>
            <w:tcW w:w="3015" w:type="dxa"/>
            <w:tcBorders>
              <w:top w:val="single" w:sz="6" w:space="0" w:color="000000"/>
              <w:left w:val="single" w:sz="6" w:space="0" w:color="000000"/>
              <w:bottom w:val="nil"/>
              <w:right w:val="single" w:sz="6" w:space="0" w:color="000000"/>
            </w:tcBorders>
            <w:hideMark/>
          </w:tcPr>
          <w:p w14:paraId="36D8B948" w14:textId="77777777" w:rsidR="00DD4930" w:rsidRPr="00DD4930" w:rsidRDefault="00DD4930" w:rsidP="00DD4930">
            <w:r w:rsidRPr="00DD4930">
              <w:t>Read Ch.10 and other resources mentioned in the syllabus</w:t>
            </w:r>
          </w:p>
        </w:tc>
      </w:tr>
      <w:tr w:rsidR="00DD4930" w:rsidRPr="00DD4930" w14:paraId="3F075FC1" w14:textId="77777777">
        <w:trPr>
          <w:cantSplit/>
          <w:trHeight w:val="714"/>
        </w:trPr>
        <w:tc>
          <w:tcPr>
            <w:tcW w:w="1585" w:type="dxa"/>
            <w:tcBorders>
              <w:top w:val="single" w:sz="6" w:space="0" w:color="000000"/>
              <w:left w:val="single" w:sz="6" w:space="0" w:color="000000"/>
              <w:bottom w:val="nil"/>
              <w:right w:val="nil"/>
            </w:tcBorders>
            <w:shd w:val="clear" w:color="auto" w:fill="EEECE1" w:themeFill="background2"/>
            <w:hideMark/>
          </w:tcPr>
          <w:p w14:paraId="0DB954CD" w14:textId="77777777" w:rsidR="00DD4930" w:rsidRPr="00DD4930" w:rsidRDefault="00DD4930" w:rsidP="00DD4930">
            <w:r w:rsidRPr="00DD4930">
              <w:lastRenderedPageBreak/>
              <w:t>25, 26, 27, 28</w:t>
            </w:r>
          </w:p>
        </w:tc>
        <w:tc>
          <w:tcPr>
            <w:tcW w:w="5580" w:type="dxa"/>
            <w:tcBorders>
              <w:top w:val="single" w:sz="6" w:space="0" w:color="000000"/>
              <w:left w:val="single" w:sz="6" w:space="0" w:color="000000"/>
              <w:bottom w:val="nil"/>
              <w:right w:val="single" w:sz="6" w:space="0" w:color="000000"/>
            </w:tcBorders>
            <w:shd w:val="clear" w:color="auto" w:fill="EEECE1" w:themeFill="background2"/>
            <w:hideMark/>
          </w:tcPr>
          <w:p w14:paraId="19F7005C" w14:textId="77777777" w:rsidR="00DD4930" w:rsidRPr="00DD4930" w:rsidRDefault="00DD4930" w:rsidP="00DD4930">
            <w:pPr>
              <w:numPr>
                <w:ilvl w:val="0"/>
                <w:numId w:val="66"/>
              </w:numPr>
            </w:pPr>
            <w:r w:rsidRPr="00DD4930">
              <w:rPr>
                <w:b/>
                <w:bCs/>
              </w:rPr>
              <w:t>Topic 7:</w:t>
            </w:r>
            <w:r w:rsidRPr="00DD4930">
              <w:t xml:space="preserve"> Trading Strategies Involving Options</w:t>
            </w:r>
          </w:p>
          <w:p w14:paraId="33D592A1" w14:textId="77777777" w:rsidR="00DD4930" w:rsidRPr="00DD4930" w:rsidRDefault="00DD4930" w:rsidP="00DD4930">
            <w:r w:rsidRPr="00DD4930">
              <w:rPr>
                <w:i/>
                <w:iCs/>
              </w:rPr>
              <w:t>Reading Assignment:</w:t>
            </w:r>
            <w:r w:rsidRPr="00DD4930">
              <w:t xml:space="preserve"> Hull Ch. 11</w:t>
            </w:r>
          </w:p>
        </w:tc>
        <w:tc>
          <w:tcPr>
            <w:tcW w:w="3015" w:type="dxa"/>
            <w:tcBorders>
              <w:top w:val="single" w:sz="6" w:space="0" w:color="000000"/>
              <w:left w:val="single" w:sz="6" w:space="0" w:color="000000"/>
              <w:bottom w:val="nil"/>
              <w:right w:val="single" w:sz="6" w:space="0" w:color="000000"/>
            </w:tcBorders>
            <w:shd w:val="clear" w:color="auto" w:fill="EEECE1" w:themeFill="background2"/>
            <w:hideMark/>
          </w:tcPr>
          <w:p w14:paraId="2366EFB9" w14:textId="77777777" w:rsidR="00DD4930" w:rsidRPr="00DD4930" w:rsidRDefault="00DD4930" w:rsidP="00DD4930">
            <w:r w:rsidRPr="00DD4930">
              <w:t>Read Ch.11 and other resources mentioned in the syllabus</w:t>
            </w:r>
          </w:p>
        </w:tc>
      </w:tr>
      <w:tr w:rsidR="00DD4930" w:rsidRPr="00DD4930" w14:paraId="4A26C780" w14:textId="77777777">
        <w:trPr>
          <w:cantSplit/>
          <w:trHeight w:val="390"/>
        </w:trPr>
        <w:tc>
          <w:tcPr>
            <w:tcW w:w="1585" w:type="dxa"/>
            <w:tcBorders>
              <w:top w:val="single" w:sz="6" w:space="0" w:color="000000"/>
              <w:left w:val="single" w:sz="6" w:space="0" w:color="000000"/>
              <w:bottom w:val="nil"/>
              <w:right w:val="nil"/>
            </w:tcBorders>
            <w:hideMark/>
          </w:tcPr>
          <w:p w14:paraId="18F136E6" w14:textId="77777777" w:rsidR="00DD4930" w:rsidRPr="00DD4930" w:rsidRDefault="00DD4930" w:rsidP="00DD4930">
            <w:r w:rsidRPr="00DD4930">
              <w:rPr>
                <w:b/>
                <w:lang w:val="es-ES"/>
              </w:rPr>
              <w:t>May</w:t>
            </w:r>
          </w:p>
        </w:tc>
        <w:tc>
          <w:tcPr>
            <w:tcW w:w="5580" w:type="dxa"/>
            <w:tcBorders>
              <w:top w:val="single" w:sz="6" w:space="0" w:color="000000"/>
              <w:left w:val="single" w:sz="6" w:space="0" w:color="000000"/>
              <w:bottom w:val="nil"/>
              <w:right w:val="single" w:sz="6" w:space="0" w:color="000000"/>
            </w:tcBorders>
            <w:hideMark/>
          </w:tcPr>
          <w:p w14:paraId="78D3C97A" w14:textId="77777777" w:rsidR="00DD4930" w:rsidRPr="00DD4930" w:rsidRDefault="00DD4930" w:rsidP="00DD4930">
            <w:pPr>
              <w:rPr>
                <w:b/>
                <w:bCs/>
              </w:rPr>
            </w:pPr>
            <w:r w:rsidRPr="00DD4930">
              <w:rPr>
                <w:b/>
                <w:bCs/>
              </w:rPr>
              <w:t xml:space="preserve">Second Exam </w:t>
            </w:r>
          </w:p>
        </w:tc>
        <w:tc>
          <w:tcPr>
            <w:tcW w:w="3015" w:type="dxa"/>
            <w:tcBorders>
              <w:top w:val="single" w:sz="6" w:space="0" w:color="000000"/>
              <w:left w:val="single" w:sz="6" w:space="0" w:color="000000"/>
              <w:bottom w:val="nil"/>
              <w:right w:val="single" w:sz="6" w:space="0" w:color="000000"/>
            </w:tcBorders>
            <w:hideMark/>
          </w:tcPr>
          <w:p w14:paraId="6FE548CD" w14:textId="77777777" w:rsidR="00DD4930" w:rsidRPr="00DD4930" w:rsidRDefault="00DD4930" w:rsidP="00DD4930">
            <w:r w:rsidRPr="00DD4930">
              <w:rPr>
                <w:b/>
                <w:bCs/>
              </w:rPr>
              <w:t>Good luck!</w:t>
            </w:r>
          </w:p>
        </w:tc>
      </w:tr>
      <w:tr w:rsidR="00DD4930" w:rsidRPr="00DD4930" w14:paraId="42C8FB28" w14:textId="77777777">
        <w:trPr>
          <w:cantSplit/>
          <w:trHeight w:val="282"/>
        </w:trPr>
        <w:tc>
          <w:tcPr>
            <w:tcW w:w="1585" w:type="dxa"/>
            <w:tcBorders>
              <w:top w:val="single" w:sz="6" w:space="0" w:color="000000"/>
              <w:left w:val="single" w:sz="6" w:space="0" w:color="000000"/>
              <w:bottom w:val="nil"/>
              <w:right w:val="nil"/>
            </w:tcBorders>
            <w:shd w:val="clear" w:color="auto" w:fill="000000" w:themeFill="text1"/>
          </w:tcPr>
          <w:p w14:paraId="4CC04A0C" w14:textId="77777777" w:rsidR="00DD4930" w:rsidRPr="00DD4930" w:rsidRDefault="00DD4930" w:rsidP="00DD4930">
            <w:pPr>
              <w:rPr>
                <w:b/>
                <w:lang w:val="es-ES"/>
              </w:rPr>
            </w:pPr>
          </w:p>
        </w:tc>
        <w:tc>
          <w:tcPr>
            <w:tcW w:w="5580" w:type="dxa"/>
            <w:tcBorders>
              <w:top w:val="single" w:sz="6" w:space="0" w:color="000000"/>
              <w:left w:val="single" w:sz="6" w:space="0" w:color="000000"/>
              <w:bottom w:val="nil"/>
              <w:right w:val="single" w:sz="6" w:space="0" w:color="000000"/>
            </w:tcBorders>
            <w:shd w:val="clear" w:color="auto" w:fill="000000" w:themeFill="text1"/>
          </w:tcPr>
          <w:p w14:paraId="07E59251" w14:textId="77777777" w:rsidR="00DD4930" w:rsidRPr="00DD4930" w:rsidRDefault="00DD4930" w:rsidP="00DD4930">
            <w:pPr>
              <w:rPr>
                <w:b/>
                <w:bCs/>
              </w:rPr>
            </w:pPr>
          </w:p>
        </w:tc>
        <w:tc>
          <w:tcPr>
            <w:tcW w:w="3015" w:type="dxa"/>
            <w:tcBorders>
              <w:top w:val="single" w:sz="6" w:space="0" w:color="000000"/>
              <w:left w:val="single" w:sz="6" w:space="0" w:color="000000"/>
              <w:bottom w:val="nil"/>
              <w:right w:val="single" w:sz="6" w:space="0" w:color="000000"/>
            </w:tcBorders>
            <w:shd w:val="clear" w:color="auto" w:fill="000000" w:themeFill="text1"/>
          </w:tcPr>
          <w:p w14:paraId="0D2AECBE" w14:textId="77777777" w:rsidR="00DD4930" w:rsidRPr="00DD4930" w:rsidRDefault="00DD4930" w:rsidP="00DD4930">
            <w:pPr>
              <w:rPr>
                <w:b/>
                <w:bCs/>
              </w:rPr>
            </w:pPr>
          </w:p>
        </w:tc>
      </w:tr>
      <w:tr w:rsidR="00DD4930" w:rsidRPr="00DD4930" w14:paraId="53369826" w14:textId="77777777">
        <w:trPr>
          <w:cantSplit/>
          <w:trHeight w:val="671"/>
        </w:trPr>
        <w:tc>
          <w:tcPr>
            <w:tcW w:w="10180" w:type="dxa"/>
            <w:gridSpan w:val="3"/>
            <w:tcBorders>
              <w:top w:val="single" w:sz="6" w:space="0" w:color="000000"/>
              <w:left w:val="single" w:sz="6" w:space="0" w:color="000000"/>
              <w:bottom w:val="single" w:sz="4" w:space="0" w:color="auto"/>
              <w:right w:val="single" w:sz="6" w:space="0" w:color="000000"/>
            </w:tcBorders>
            <w:hideMark/>
          </w:tcPr>
          <w:p w14:paraId="335807F9" w14:textId="77777777" w:rsidR="00DD4930" w:rsidRPr="00DD4930" w:rsidRDefault="00DD4930" w:rsidP="00DD4930">
            <w:pPr>
              <w:rPr>
                <w:i/>
                <w:iCs/>
              </w:rPr>
            </w:pPr>
            <w:r w:rsidRPr="00DD4930">
              <w:rPr>
                <w:b/>
                <w:bCs/>
                <w:i/>
                <w:iCs/>
              </w:rPr>
              <w:t>NOTE:</w:t>
            </w:r>
            <w:r w:rsidRPr="00DD4930">
              <w:rPr>
                <w:i/>
                <w:iCs/>
              </w:rPr>
              <w:t xml:space="preserve"> Dr. Bhuyan will demo the trading software (StockTrak) in class. Additionally, students will practice trading of futures and options in class during the semester. </w:t>
            </w:r>
          </w:p>
        </w:tc>
      </w:tr>
    </w:tbl>
    <w:p w14:paraId="4FE55841" w14:textId="77777777" w:rsidR="00DD4930" w:rsidRPr="00DD4930" w:rsidRDefault="00DD4930" w:rsidP="001F6F76"/>
    <w:p w14:paraId="04CC6407" w14:textId="77777777" w:rsidR="00DD4930" w:rsidRPr="001F6F76" w:rsidRDefault="00DD4930"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21"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22"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Adherence to these principles is necessary in order to ensure that</w:t>
          </w:r>
        </w:p>
        <w:p w14:paraId="6BC972BA" w14:textId="77777777" w:rsidR="00A3101E" w:rsidRDefault="00A07477">
          <w:pPr>
            <w:numPr>
              <w:ilvl w:val="0"/>
              <w:numId w:val="9"/>
            </w:numPr>
            <w:rPr>
              <w:rStyle w:val="Style2"/>
            </w:rPr>
          </w:pPr>
          <w:r>
            <w:rPr>
              <w:rStyle w:val="Style2"/>
            </w:rPr>
            <w:t>everyone is given proper credit for his or her ideas, words, results, and other scholarly accomplishments.</w:t>
          </w:r>
        </w:p>
        <w:p w14:paraId="2A433F0F" w14:textId="4E18184E" w:rsidR="00A3101E" w:rsidRDefault="00A07477">
          <w:pPr>
            <w:numPr>
              <w:ilvl w:val="0"/>
              <w:numId w:val="9"/>
            </w:numPr>
            <w:rPr>
              <w:rStyle w:val="Style2"/>
            </w:rPr>
          </w:pPr>
          <w:r>
            <w:rPr>
              <w:rStyle w:val="Style2"/>
            </w:rPr>
            <w:t xml:space="preserve">all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r>
            <w:rPr>
              <w:rStyle w:val="Style2"/>
            </w:rPr>
            <w:t>the academic and ethical development of all students is fostered.</w:t>
          </w:r>
        </w:p>
        <w:p w14:paraId="018580F9" w14:textId="77777777" w:rsidR="00A3101E" w:rsidRDefault="00A07477">
          <w:pPr>
            <w:numPr>
              <w:ilvl w:val="0"/>
              <w:numId w:val="9"/>
            </w:numPr>
            <w:rPr>
              <w:rStyle w:val="Style2"/>
            </w:rPr>
          </w:pPr>
          <w:r>
            <w:rPr>
              <w:rStyle w:val="Style2"/>
            </w:rPr>
            <w:t>the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personal experiences. We will </w:t>
      </w:r>
      <w:r w:rsidRPr="006568A1">
        <w:lastRenderedPageBreak/>
        <w:t>not tolerate disrespectful language or behavior against any individual or group. If you feel as though you have been disrespected or treated unfairly by the instructors or any other individual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23"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24"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CAPS is a University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25"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provides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26"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27" w:history="1">
        <w:r>
          <w:rPr>
            <w:rStyle w:val="Style2"/>
          </w:rPr>
          <w:t>https://ods.rutgers.edu/students/documentation-guidelines</w:t>
        </w:r>
      </w:hyperlink>
      <w:r>
        <w:rPr>
          <w:rStyle w:val="Style2"/>
        </w:rPr>
        <w:t xml:space="preserve">. If the documentation supports your request for reasonable accommodations, your campus’s disability services office will provide you with a Letter of </w:t>
      </w:r>
      <w:r w:rsidR="00A1610B">
        <w:rPr>
          <w:rStyle w:val="Style2"/>
        </w:rPr>
        <w:t>Accommodation</w:t>
      </w:r>
      <w:r>
        <w:rPr>
          <w:rStyle w:val="Style2"/>
        </w:rPr>
        <w:t xml:space="preserve">. Please share this letter with your instructors and discuss the accommodations with them as early in your courses as possible.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8"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9"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30"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NJ Hopeline</w:t>
      </w:r>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31">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32"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33"/>
      <w:footerReference w:type="default" r:id="rId34"/>
      <w:headerReference w:type="firs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1410" w14:textId="77777777" w:rsidR="001D552E" w:rsidRDefault="001D552E">
      <w:r>
        <w:separator/>
      </w:r>
    </w:p>
  </w:endnote>
  <w:endnote w:type="continuationSeparator" w:id="0">
    <w:p w14:paraId="402D503F" w14:textId="77777777" w:rsidR="001D552E" w:rsidRDefault="001D552E">
      <w:r>
        <w:continuationSeparator/>
      </w:r>
    </w:p>
  </w:endnote>
  <w:endnote w:type="continuationNotice" w:id="1">
    <w:p w14:paraId="47631471" w14:textId="77777777" w:rsidR="001D552E" w:rsidRDefault="001D5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C1FF" w14:textId="77777777" w:rsidR="001D552E" w:rsidRDefault="001D552E">
      <w:r>
        <w:separator/>
      </w:r>
    </w:p>
  </w:footnote>
  <w:footnote w:type="continuationSeparator" w:id="0">
    <w:p w14:paraId="69C85B06" w14:textId="77777777" w:rsidR="001D552E" w:rsidRDefault="001D552E">
      <w:r>
        <w:continuationSeparator/>
      </w:r>
    </w:p>
  </w:footnote>
  <w:footnote w:type="continuationNotice" w:id="1">
    <w:p w14:paraId="5CC4EE0A" w14:textId="77777777" w:rsidR="001D552E" w:rsidRDefault="001D552E"/>
  </w:footnote>
  <w:footnote w:id="2">
    <w:p w14:paraId="201FCD50" w14:textId="77777777" w:rsidR="00DD4930" w:rsidRDefault="00DD4930" w:rsidP="00DD4930">
      <w:pPr>
        <w:pStyle w:val="FootnoteText"/>
      </w:pPr>
      <w:r>
        <w:rPr>
          <w:rStyle w:val="FootnoteReference"/>
        </w:rPr>
        <w:footnoteRef/>
      </w:r>
      <w:r>
        <w:t xml:space="preserve"> Some deadlines maybe modified toward the end of the semester.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03697"/>
    <w:multiLevelType w:val="hybridMultilevel"/>
    <w:tmpl w:val="1E56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0"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1"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70E92"/>
    <w:multiLevelType w:val="hybridMultilevel"/>
    <w:tmpl w:val="5E869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2878D2"/>
    <w:multiLevelType w:val="hybridMultilevel"/>
    <w:tmpl w:val="81341CE8"/>
    <w:lvl w:ilvl="0" w:tplc="2C5088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746A6A"/>
    <w:multiLevelType w:val="hybridMultilevel"/>
    <w:tmpl w:val="77B034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3"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FB120B"/>
    <w:multiLevelType w:val="hybridMultilevel"/>
    <w:tmpl w:val="E154C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9208E6"/>
    <w:multiLevelType w:val="hybridMultilevel"/>
    <w:tmpl w:val="36D4CD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42A211EB"/>
    <w:multiLevelType w:val="hybridMultilevel"/>
    <w:tmpl w:val="4FBA072A"/>
    <w:lvl w:ilvl="0" w:tplc="6A7EBC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926F4B"/>
    <w:multiLevelType w:val="hybridMultilevel"/>
    <w:tmpl w:val="D9401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DE6136"/>
    <w:multiLevelType w:val="hybridMultilevel"/>
    <w:tmpl w:val="2ABE3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5"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8"/>
  </w:num>
  <w:num w:numId="2" w16cid:durableId="944726977">
    <w:abstractNumId w:val="7"/>
  </w:num>
  <w:num w:numId="3" w16cid:durableId="22633558">
    <w:abstractNumId w:val="7"/>
  </w:num>
  <w:num w:numId="4" w16cid:durableId="29965072">
    <w:abstractNumId w:val="34"/>
  </w:num>
  <w:num w:numId="5" w16cid:durableId="395132139">
    <w:abstractNumId w:val="26"/>
  </w:num>
  <w:num w:numId="6" w16cid:durableId="65227288">
    <w:abstractNumId w:val="26"/>
  </w:num>
  <w:num w:numId="7" w16cid:durableId="118031469">
    <w:abstractNumId w:val="14"/>
  </w:num>
  <w:num w:numId="8" w16cid:durableId="1041906335">
    <w:abstractNumId w:val="1"/>
  </w:num>
  <w:num w:numId="9" w16cid:durableId="320163952">
    <w:abstractNumId w:val="1"/>
  </w:num>
  <w:num w:numId="10" w16cid:durableId="20530690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30"/>
  </w:num>
  <w:num w:numId="13" w16cid:durableId="1097559782">
    <w:abstractNumId w:val="41"/>
  </w:num>
  <w:num w:numId="14" w16cid:durableId="469834322">
    <w:abstractNumId w:val="43"/>
  </w:num>
  <w:num w:numId="15" w16cid:durableId="2021732300">
    <w:abstractNumId w:val="44"/>
  </w:num>
  <w:num w:numId="16" w16cid:durableId="709232823">
    <w:abstractNumId w:val="35"/>
  </w:num>
  <w:num w:numId="17" w16cid:durableId="720907609">
    <w:abstractNumId w:val="56"/>
  </w:num>
  <w:num w:numId="18" w16cid:durableId="238944871">
    <w:abstractNumId w:val="2"/>
  </w:num>
  <w:num w:numId="19" w16cid:durableId="136840557">
    <w:abstractNumId w:val="48"/>
  </w:num>
  <w:num w:numId="20" w16cid:durableId="1835100680">
    <w:abstractNumId w:val="5"/>
  </w:num>
  <w:num w:numId="21" w16cid:durableId="41289568">
    <w:abstractNumId w:val="57"/>
  </w:num>
  <w:num w:numId="22" w16cid:durableId="444541022">
    <w:abstractNumId w:val="39"/>
  </w:num>
  <w:num w:numId="23" w16cid:durableId="1698582408">
    <w:abstractNumId w:val="0"/>
  </w:num>
  <w:num w:numId="24" w16cid:durableId="1353998978">
    <w:abstractNumId w:val="47"/>
  </w:num>
  <w:num w:numId="25" w16cid:durableId="355008526">
    <w:abstractNumId w:val="33"/>
  </w:num>
  <w:num w:numId="26" w16cid:durableId="1408959012">
    <w:abstractNumId w:val="51"/>
  </w:num>
  <w:num w:numId="27" w16cid:durableId="282273256">
    <w:abstractNumId w:val="55"/>
  </w:num>
  <w:num w:numId="28" w16cid:durableId="2052725422">
    <w:abstractNumId w:val="20"/>
  </w:num>
  <w:num w:numId="29" w16cid:durableId="241524684">
    <w:abstractNumId w:val="37"/>
  </w:num>
  <w:num w:numId="30" w16cid:durableId="1215309210">
    <w:abstractNumId w:val="36"/>
  </w:num>
  <w:num w:numId="31" w16cid:durableId="17698101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54"/>
  </w:num>
  <w:num w:numId="33" w16cid:durableId="35860317">
    <w:abstractNumId w:val="27"/>
  </w:num>
  <w:num w:numId="34" w16cid:durableId="1395352853">
    <w:abstractNumId w:val="3"/>
  </w:num>
  <w:num w:numId="35" w16cid:durableId="690497846">
    <w:abstractNumId w:val="22"/>
  </w:num>
  <w:num w:numId="36" w16cid:durableId="116338494">
    <w:abstractNumId w:val="9"/>
  </w:num>
  <w:num w:numId="37" w16cid:durableId="1943872804">
    <w:abstractNumId w:val="10"/>
  </w:num>
  <w:num w:numId="38" w16cid:durableId="2138329971">
    <w:abstractNumId w:val="24"/>
  </w:num>
  <w:num w:numId="39" w16cid:durableId="449709029">
    <w:abstractNumId w:val="4"/>
  </w:num>
  <w:num w:numId="40" w16cid:durableId="1919442617">
    <w:abstractNumId w:val="16"/>
  </w:num>
  <w:num w:numId="41" w16cid:durableId="1065251700">
    <w:abstractNumId w:val="52"/>
  </w:num>
  <w:num w:numId="42" w16cid:durableId="297345256">
    <w:abstractNumId w:val="8"/>
  </w:num>
  <w:num w:numId="43" w16cid:durableId="2045203601">
    <w:abstractNumId w:val="12"/>
  </w:num>
  <w:num w:numId="44" w16cid:durableId="917206999">
    <w:abstractNumId w:val="28"/>
  </w:num>
  <w:num w:numId="45" w16cid:durableId="1202783107">
    <w:abstractNumId w:val="11"/>
  </w:num>
  <w:num w:numId="46" w16cid:durableId="1838615683">
    <w:abstractNumId w:val="17"/>
  </w:num>
  <w:num w:numId="47" w16cid:durableId="411463760">
    <w:abstractNumId w:val="46"/>
  </w:num>
  <w:num w:numId="48" w16cid:durableId="1246114579">
    <w:abstractNumId w:val="49"/>
  </w:num>
  <w:num w:numId="49" w16cid:durableId="1398505230">
    <w:abstractNumId w:val="23"/>
  </w:num>
  <w:num w:numId="50" w16cid:durableId="1449547048">
    <w:abstractNumId w:val="6"/>
  </w:num>
  <w:num w:numId="51" w16cid:durableId="585967387">
    <w:abstractNumId w:val="7"/>
  </w:num>
  <w:num w:numId="52" w16cid:durableId="20490608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53"/>
  </w:num>
  <w:num w:numId="54" w16cid:durableId="1037394200">
    <w:abstractNumId w:val="21"/>
  </w:num>
  <w:num w:numId="55" w16cid:durableId="365831443">
    <w:abstractNumId w:val="23"/>
  </w:num>
  <w:num w:numId="56" w16cid:durableId="1280599534">
    <w:abstractNumId w:val="31"/>
  </w:num>
  <w:num w:numId="57" w16cid:durableId="478576233">
    <w:abstractNumId w:val="42"/>
  </w:num>
  <w:num w:numId="58" w16cid:durableId="1078669771">
    <w:abstractNumId w:val="7"/>
  </w:num>
  <w:num w:numId="59" w16cid:durableId="94794508">
    <w:abstractNumId w:val="40"/>
  </w:num>
  <w:num w:numId="60" w16cid:durableId="177696080">
    <w:abstractNumId w:val="29"/>
  </w:num>
  <w:num w:numId="61" w16cid:durableId="17984534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78804807">
    <w:abstractNumId w:val="19"/>
  </w:num>
  <w:num w:numId="63" w16cid:durableId="3255904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7113605">
    <w:abstractNumId w:val="38"/>
  </w:num>
  <w:num w:numId="65" w16cid:durableId="1301492717">
    <w:abstractNumId w:val="25"/>
  </w:num>
  <w:num w:numId="66" w16cid:durableId="115105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50BF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87D77"/>
    <w:rsid w:val="001A299D"/>
    <w:rsid w:val="001A365C"/>
    <w:rsid w:val="001B5560"/>
    <w:rsid w:val="001C2138"/>
    <w:rsid w:val="001D552E"/>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57E38"/>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2772"/>
    <w:rsid w:val="00CC4CBA"/>
    <w:rsid w:val="00CD4A37"/>
    <w:rsid w:val="00CF0C56"/>
    <w:rsid w:val="00D04169"/>
    <w:rsid w:val="00D12730"/>
    <w:rsid w:val="00D15247"/>
    <w:rsid w:val="00D17FBE"/>
    <w:rsid w:val="00D22E35"/>
    <w:rsid w:val="00D5095E"/>
    <w:rsid w:val="00D54914"/>
    <w:rsid w:val="00D56089"/>
    <w:rsid w:val="00D63776"/>
    <w:rsid w:val="00D751FA"/>
    <w:rsid w:val="00D86EBE"/>
    <w:rsid w:val="00D9000D"/>
    <w:rsid w:val="00DB5C99"/>
    <w:rsid w:val="00DC2744"/>
    <w:rsid w:val="00DD023E"/>
    <w:rsid w:val="00DD4930"/>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rsid w:val="00DD4930"/>
    <w:rPr>
      <w:sz w:val="20"/>
      <w:szCs w:val="20"/>
    </w:rPr>
  </w:style>
  <w:style w:type="character" w:customStyle="1" w:styleId="CommentTextChar">
    <w:name w:val="Comment Text Char"/>
    <w:basedOn w:val="DefaultParagraphFont"/>
    <w:link w:val="CommentText"/>
    <w:uiPriority w:val="99"/>
    <w:semiHidden/>
    <w:rsid w:val="00DD4930"/>
  </w:style>
  <w:style w:type="character" w:styleId="CommentReference">
    <w:name w:val="annotation reference"/>
    <w:basedOn w:val="DefaultParagraphFont"/>
    <w:semiHidden/>
    <w:unhideWhenUsed/>
    <w:rsid w:val="00DD49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megroup.com/" TargetMode="External"/><Relationship Id="rId18" Type="http://schemas.openxmlformats.org/officeDocument/2006/relationships/hyperlink" Target="https://ods.rutgers.edu/" TargetMode="External"/><Relationship Id="rId26" Type="http://schemas.openxmlformats.org/officeDocument/2006/relationships/hyperlink" Target="https://ods.rutgers.edu/" TargetMode="External"/><Relationship Id="rId21" Type="http://schemas.openxmlformats.org/officeDocument/2006/relationships/hyperlink" Target="http://finalexams.rutgers.ed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moditytrainingschool.com" TargetMode="External"/><Relationship Id="rId17" Type="http://schemas.openxmlformats.org/officeDocument/2006/relationships/hyperlink" Target="https://ods.rutgers.edu/students/getting-registered" TargetMode="External"/><Relationship Id="rId25" Type="http://schemas.openxmlformats.org/officeDocument/2006/relationships/hyperlink" Target="https://vpva.rutgers.edu/"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rmdoc.illinois.edu/irwin/links_archive.asp" TargetMode="External"/><Relationship Id="rId20" Type="http://schemas.openxmlformats.org/officeDocument/2006/relationships/hyperlink" Target="https://ods.rutgers.edu/" TargetMode="External"/><Relationship Id="rId29" Type="http://schemas.openxmlformats.org/officeDocument/2006/relationships/hyperlink" Target="https://health.rutgers.edu/health-education-and-promotion/health-promotion-peer-education/wellness-coach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tc.gov/IndustryOversight/ContractsProducts/AgriculturalTradeOptions/ato" TargetMode="External"/><Relationship Id="rId24" Type="http://schemas.openxmlformats.org/officeDocument/2006/relationships/hyperlink" Target="http://www.rhscaps.rutgers.edu/" TargetMode="External"/><Relationship Id="rId32" Type="http://schemas.openxmlformats.org/officeDocument/2006/relationships/hyperlink" Target="https://deanofstudents.rutgers.edu/"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theice.com/index" TargetMode="External"/><Relationship Id="rId23" Type="http://schemas.openxmlformats.org/officeDocument/2006/relationships/hyperlink" Target="http://inclusion.rutgers.edu/report-bias-incident/" TargetMode="External"/><Relationship Id="rId28" Type="http://schemas.openxmlformats.org/officeDocument/2006/relationships/hyperlink" Target="http://health.rutgers.edu/do-something-to-help/" TargetMode="External"/><Relationship Id="rId36" Type="http://schemas.openxmlformats.org/officeDocument/2006/relationships/fontTable" Target="fontTable.xml"/><Relationship Id="rId10" Type="http://schemas.openxmlformats.org/officeDocument/2006/relationships/hyperlink" Target="https://www.cmegroup.com/" TargetMode="External"/><Relationship Id="rId19" Type="http://schemas.openxmlformats.org/officeDocument/2006/relationships/hyperlink" Target="https://ods.rutgers.edu/students/getting-registered" TargetMode="External"/><Relationship Id="rId31" Type="http://schemas.openxmlformats.org/officeDocument/2006/relationships/hyperlink" Target="http://ruoffcampus.rutgers.edu/food/" TargetMode="External"/><Relationship Id="rId4" Type="http://schemas.openxmlformats.org/officeDocument/2006/relationships/settings" Target="settings.xml"/><Relationship Id="rId9" Type="http://schemas.openxmlformats.org/officeDocument/2006/relationships/hyperlink" Target="https://www.stocktrak.com/" TargetMode="External"/><Relationship Id="rId14" Type="http://schemas.openxmlformats.org/officeDocument/2006/relationships/hyperlink" Target="http://www.ers.usda.gov/Publications/aer837" TargetMode="External"/><Relationship Id="rId22" Type="http://schemas.openxmlformats.org/officeDocument/2006/relationships/hyperlink" Target="https://academicintegrity.rutgers.edu/sites/default/files/pdfs/current.pdf" TargetMode="External"/><Relationship Id="rId27" Type="http://schemas.openxmlformats.org/officeDocument/2006/relationships/hyperlink" Target="https://ods.rutgers.edu/students/documentation-guidelines" TargetMode="External"/><Relationship Id="rId30" Type="http://schemas.openxmlformats.org/officeDocument/2006/relationships/hyperlink" Target="https://health.rutgers.edu/health-education-and-promotion/self-help/self-help-apps" TargetMode="External"/><Relationship Id="rId35" Type="http://schemas.openxmlformats.org/officeDocument/2006/relationships/header" Target="header2.xml"/><Relationship Id="rId8" Type="http://schemas.openxmlformats.org/officeDocument/2006/relationships/hyperlink" Target="https://classes.rutgers.edu/soc/"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87D77"/>
    <w:rsid w:val="001B5560"/>
    <w:rsid w:val="001D1FA4"/>
    <w:rsid w:val="001D7E7F"/>
    <w:rsid w:val="001E5A75"/>
    <w:rsid w:val="0021311E"/>
    <w:rsid w:val="00226DD4"/>
    <w:rsid w:val="00234656"/>
    <w:rsid w:val="0026050E"/>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27DC9"/>
    <w:rsid w:val="00A4103C"/>
    <w:rsid w:val="00AA4142"/>
    <w:rsid w:val="00AE05C8"/>
    <w:rsid w:val="00AF5B28"/>
    <w:rsid w:val="00B937AB"/>
    <w:rsid w:val="00B94D71"/>
    <w:rsid w:val="00C0118E"/>
    <w:rsid w:val="00C31509"/>
    <w:rsid w:val="00C31A70"/>
    <w:rsid w:val="00C50366"/>
    <w:rsid w:val="00C53C52"/>
    <w:rsid w:val="00D04169"/>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21</cp:revision>
  <dcterms:created xsi:type="dcterms:W3CDTF">2026-01-14T20:34:00Z</dcterms:created>
  <dcterms:modified xsi:type="dcterms:W3CDTF">2026-03-02T09:57:00Z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